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5930" w:rsidRDefault="00785930" w:rsidP="00EA172E">
      <w:pPr>
        <w:jc w:val="both"/>
        <w:rPr>
          <w:rFonts w:ascii="Garamond" w:hAnsi="Garamond" w:cs="Times New Roman"/>
          <w:b/>
          <w:i/>
        </w:rPr>
      </w:pPr>
      <w:r w:rsidRPr="00302489">
        <w:rPr>
          <w:noProof/>
          <w:lang w:val="en-US"/>
        </w:rPr>
        <w:drawing>
          <wp:inline distT="0" distB="0" distL="0" distR="0" wp14:anchorId="614D7213" wp14:editId="731E3923">
            <wp:extent cx="3819525" cy="742928"/>
            <wp:effectExtent l="0" t="0" r="0" b="635"/>
            <wp:docPr id="15" name="Picture 15" descr="NewLogolockup2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Logolockup2010.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9525" cy="742928"/>
                    </a:xfrm>
                    <a:prstGeom prst="rect">
                      <a:avLst/>
                    </a:prstGeom>
                    <a:noFill/>
                    <a:ln>
                      <a:noFill/>
                    </a:ln>
                  </pic:spPr>
                </pic:pic>
              </a:graphicData>
            </a:graphic>
          </wp:inline>
        </w:drawing>
      </w:r>
    </w:p>
    <w:p w:rsidR="00785930" w:rsidRDefault="00785930" w:rsidP="00EA172E">
      <w:pPr>
        <w:jc w:val="both"/>
        <w:rPr>
          <w:rFonts w:ascii="Garamond" w:hAnsi="Garamond" w:cs="Times New Roman"/>
          <w:b/>
          <w:i/>
        </w:rPr>
      </w:pPr>
    </w:p>
    <w:p w:rsidR="00785930" w:rsidRPr="00432D29" w:rsidRDefault="00E678C9" w:rsidP="00EA172E">
      <w:pPr>
        <w:jc w:val="both"/>
        <w:rPr>
          <w:rFonts w:ascii="Garamond" w:hAnsi="Garamond" w:cs="Times New Roman"/>
          <w:b/>
        </w:rPr>
      </w:pPr>
      <w:r>
        <w:rPr>
          <w:rFonts w:ascii="Garamond" w:hAnsi="Garamond" w:cs="Times New Roman"/>
          <w:b/>
        </w:rPr>
        <w:t xml:space="preserve">TANZANIA </w:t>
      </w:r>
      <w:r w:rsidR="00785930" w:rsidRPr="00432D29">
        <w:rPr>
          <w:rFonts w:ascii="Garamond" w:hAnsi="Garamond" w:cs="Times New Roman"/>
          <w:b/>
        </w:rPr>
        <w:t>PROGRA</w:t>
      </w:r>
      <w:r w:rsidR="00785930">
        <w:rPr>
          <w:rFonts w:ascii="Garamond" w:hAnsi="Garamond" w:cs="Times New Roman"/>
          <w:b/>
        </w:rPr>
        <w:t>M</w:t>
      </w:r>
      <w:r w:rsidR="00785930" w:rsidRPr="00432D29">
        <w:rPr>
          <w:rFonts w:ascii="Garamond" w:hAnsi="Garamond" w:cs="Times New Roman"/>
          <w:b/>
        </w:rPr>
        <w:t xml:space="preserve"> </w:t>
      </w:r>
    </w:p>
    <w:p w:rsidR="00785930" w:rsidRPr="00E24DEC" w:rsidRDefault="00E678C9" w:rsidP="00EA172E">
      <w:pPr>
        <w:jc w:val="both"/>
        <w:rPr>
          <w:rFonts w:ascii="Garamond" w:hAnsi="Garamond" w:cs="Times New Roman"/>
          <w:b/>
        </w:rPr>
      </w:pPr>
      <w:r>
        <w:rPr>
          <w:rFonts w:ascii="Garamond" w:hAnsi="Garamond" w:cs="Times New Roman"/>
          <w:b/>
        </w:rPr>
        <w:t>ELECTORAL ENGAGEMENT</w:t>
      </w:r>
      <w:r w:rsidR="00785930">
        <w:rPr>
          <w:rFonts w:ascii="Garamond" w:hAnsi="Garamond" w:cs="Times New Roman"/>
          <w:b/>
        </w:rPr>
        <w:t xml:space="preserve"> - </w:t>
      </w:r>
      <w:r w:rsidR="00785930" w:rsidRPr="00432D29">
        <w:rPr>
          <w:rFonts w:ascii="Garamond" w:hAnsi="Garamond" w:cs="Times New Roman"/>
          <w:b/>
        </w:rPr>
        <w:t>PORTFOLIO REVIEW</w:t>
      </w:r>
    </w:p>
    <w:p w:rsidR="00785930" w:rsidRPr="007011BC" w:rsidRDefault="00785930" w:rsidP="00EA172E">
      <w:pPr>
        <w:pBdr>
          <w:bottom w:val="single" w:sz="12" w:space="1" w:color="auto"/>
        </w:pBdr>
        <w:jc w:val="both"/>
        <w:rPr>
          <w:rFonts w:ascii="Garamond" w:hAnsi="Garamond" w:cs="Times New Roman"/>
          <w:b/>
        </w:rPr>
      </w:pPr>
      <w:r w:rsidRPr="007011BC">
        <w:rPr>
          <w:rFonts w:ascii="Garamond" w:hAnsi="Garamond" w:cs="Times New Roman"/>
          <w:b/>
        </w:rPr>
        <w:t xml:space="preserve">PERIOD </w:t>
      </w:r>
      <w:r>
        <w:rPr>
          <w:rFonts w:ascii="Garamond" w:hAnsi="Garamond" w:cs="Times New Roman"/>
          <w:b/>
        </w:rPr>
        <w:t xml:space="preserve">UNDER </w:t>
      </w:r>
      <w:r w:rsidRPr="007011BC">
        <w:rPr>
          <w:rFonts w:ascii="Garamond" w:hAnsi="Garamond" w:cs="Times New Roman"/>
          <w:b/>
        </w:rPr>
        <w:t>REVIEW: 20</w:t>
      </w:r>
      <w:r w:rsidR="00E678C9">
        <w:rPr>
          <w:rFonts w:ascii="Garamond" w:hAnsi="Garamond" w:cs="Times New Roman"/>
          <w:b/>
        </w:rPr>
        <w:t>14</w:t>
      </w:r>
      <w:r>
        <w:rPr>
          <w:rFonts w:ascii="Garamond" w:hAnsi="Garamond" w:cs="Times New Roman"/>
          <w:b/>
        </w:rPr>
        <w:t xml:space="preserve"> </w:t>
      </w:r>
      <w:r w:rsidRPr="007011BC">
        <w:rPr>
          <w:rFonts w:ascii="Garamond" w:hAnsi="Garamond" w:cs="Times New Roman"/>
          <w:b/>
        </w:rPr>
        <w:t>-</w:t>
      </w:r>
      <w:r>
        <w:rPr>
          <w:rFonts w:ascii="Garamond" w:hAnsi="Garamond" w:cs="Times New Roman"/>
          <w:b/>
        </w:rPr>
        <w:t xml:space="preserve"> </w:t>
      </w:r>
      <w:r w:rsidRPr="007011BC">
        <w:rPr>
          <w:rFonts w:ascii="Garamond" w:hAnsi="Garamond" w:cs="Times New Roman"/>
          <w:b/>
        </w:rPr>
        <w:t>201</w:t>
      </w:r>
      <w:r w:rsidR="00E678C9">
        <w:rPr>
          <w:rFonts w:ascii="Garamond" w:hAnsi="Garamond" w:cs="Times New Roman"/>
          <w:b/>
        </w:rPr>
        <w:t>5</w:t>
      </w:r>
    </w:p>
    <w:p w:rsidR="00785930" w:rsidRDefault="00785930" w:rsidP="00EA172E">
      <w:pPr>
        <w:jc w:val="both"/>
        <w:rPr>
          <w:rFonts w:ascii="Garamond" w:hAnsi="Garamond" w:cs="Times New Roman"/>
          <w:b/>
        </w:rPr>
      </w:pPr>
    </w:p>
    <w:p w:rsidR="00785930" w:rsidRDefault="00785930" w:rsidP="00EA172E">
      <w:pPr>
        <w:jc w:val="both"/>
        <w:rPr>
          <w:rFonts w:ascii="Garamond" w:hAnsi="Garamond" w:cs="Times New Roman"/>
          <w:b/>
        </w:rPr>
      </w:pPr>
    </w:p>
    <w:p w:rsidR="00E24DEC" w:rsidRDefault="003F1AEF" w:rsidP="00E24DEC">
      <w:pPr>
        <w:jc w:val="both"/>
        <w:rPr>
          <w:rFonts w:ascii="Garamond" w:hAnsi="Garamond" w:cs="Times New Roman"/>
          <w:b/>
        </w:rPr>
      </w:pPr>
      <w:r>
        <w:rPr>
          <w:rFonts w:ascii="Garamond" w:hAnsi="Garamond" w:cs="Times New Roman"/>
          <w:b/>
          <w:noProof/>
          <w:lang w:val="en-US"/>
        </w:rPr>
        <w:drawing>
          <wp:inline distT="0" distB="0" distL="0" distR="0" wp14:anchorId="54CE6E55" wp14:editId="0E6B8647">
            <wp:extent cx="5876925" cy="4514850"/>
            <wp:effectExtent l="0" t="0" r="9525" b="0"/>
            <wp:docPr id="2" name="Picture 2" descr="C:\Users\ahanti\Desktop\uchaguzi 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hanti\Desktop\uchaguzi 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76205" cy="4514297"/>
                    </a:xfrm>
                    <a:prstGeom prst="rect">
                      <a:avLst/>
                    </a:prstGeom>
                    <a:noFill/>
                    <a:ln>
                      <a:noFill/>
                    </a:ln>
                  </pic:spPr>
                </pic:pic>
              </a:graphicData>
            </a:graphic>
          </wp:inline>
        </w:drawing>
      </w:r>
    </w:p>
    <w:p w:rsidR="00E24DEC" w:rsidRDefault="00E24DEC" w:rsidP="00E24DEC">
      <w:pPr>
        <w:jc w:val="both"/>
        <w:rPr>
          <w:rFonts w:ascii="Garamond" w:hAnsi="Garamond" w:cs="Times New Roman"/>
          <w:b/>
        </w:rPr>
      </w:pPr>
    </w:p>
    <w:p w:rsidR="00785930" w:rsidRPr="00E24DEC" w:rsidRDefault="00785930" w:rsidP="00E24DEC">
      <w:pPr>
        <w:jc w:val="both"/>
        <w:rPr>
          <w:rFonts w:ascii="Garamond" w:hAnsi="Garamond" w:cs="Times New Roman"/>
          <w:b/>
        </w:rPr>
      </w:pPr>
      <w:r>
        <w:rPr>
          <w:rFonts w:ascii="Garamond" w:hAnsi="Garamond" w:cs="Times New Roman"/>
          <w:b/>
        </w:rPr>
        <w:br/>
      </w:r>
    </w:p>
    <w:p w:rsidR="00825DB1" w:rsidRPr="00E24DEC" w:rsidRDefault="00F14FEC" w:rsidP="0054285E">
      <w:pPr>
        <w:shd w:val="clear" w:color="auto" w:fill="17365D" w:themeFill="text2" w:themeFillShade="BF"/>
        <w:spacing w:after="0"/>
        <w:jc w:val="both"/>
        <w:rPr>
          <w:rFonts w:ascii="Garamond" w:hAnsi="Garamond" w:cs="Times New Roman"/>
          <w:b/>
        </w:rPr>
      </w:pPr>
      <w:r>
        <w:rPr>
          <w:rFonts w:ascii="Garamond" w:hAnsi="Garamond" w:cs="Times New Roman"/>
          <w:b/>
        </w:rPr>
        <w:lastRenderedPageBreak/>
        <w:t>INTRODUCTION</w:t>
      </w:r>
      <w:r w:rsidR="00785930" w:rsidRPr="000E4BD8">
        <w:rPr>
          <w:rFonts w:ascii="Garamond" w:hAnsi="Garamond" w:cs="Times New Roman"/>
          <w:b/>
        </w:rPr>
        <w:t xml:space="preserve"> </w:t>
      </w:r>
      <w:r w:rsidR="002E10EB">
        <w:rPr>
          <w:rFonts w:ascii="Garamond" w:hAnsi="Garamond" w:cs="Times New Roman"/>
          <w:b/>
        </w:rPr>
        <w:t>TO</w:t>
      </w:r>
      <w:r w:rsidR="00785930" w:rsidRPr="000E4BD8">
        <w:rPr>
          <w:rFonts w:ascii="Garamond" w:hAnsi="Garamond" w:cs="Times New Roman"/>
          <w:b/>
        </w:rPr>
        <w:t xml:space="preserve"> THE PORTFOLIO</w:t>
      </w:r>
    </w:p>
    <w:p w:rsidR="00826987" w:rsidRDefault="00F14FEC" w:rsidP="0054285E">
      <w:pPr>
        <w:spacing w:after="0"/>
        <w:jc w:val="both"/>
      </w:pPr>
      <w:r>
        <w:t xml:space="preserve">This </w:t>
      </w:r>
      <w:r w:rsidR="00E300E8">
        <w:t>is a</w:t>
      </w:r>
      <w:r w:rsidR="00BC1781">
        <w:t xml:space="preserve"> </w:t>
      </w:r>
      <w:r>
        <w:t>review of OSIEA Tanzania program</w:t>
      </w:r>
      <w:r w:rsidR="00E300E8">
        <w:t>’s</w:t>
      </w:r>
      <w:r>
        <w:t xml:space="preserve"> electoral work </w:t>
      </w:r>
      <w:r w:rsidR="00B74FF4">
        <w:t xml:space="preserve">undertaken </w:t>
      </w:r>
      <w:r>
        <w:t xml:space="preserve">in 2014/2015. The </w:t>
      </w:r>
      <w:r w:rsidR="00825DB1">
        <w:t xml:space="preserve">program engaged in the country’s general elections for the very first time last year, 2015. This </w:t>
      </w:r>
      <w:r w:rsidR="00B9554C">
        <w:t>work was guided by the</w:t>
      </w:r>
      <w:r w:rsidR="00825DB1">
        <w:t xml:space="preserve"> </w:t>
      </w:r>
      <w:r w:rsidR="001C0F4A">
        <w:t>second goal of</w:t>
      </w:r>
      <w:r w:rsidR="00825DB1">
        <w:t xml:space="preserve"> our </w:t>
      </w:r>
      <w:r w:rsidR="00E40882">
        <w:t xml:space="preserve">2014/15 </w:t>
      </w:r>
      <w:r w:rsidR="00825DB1">
        <w:t xml:space="preserve">annual </w:t>
      </w:r>
      <w:r>
        <w:t>work plan</w:t>
      </w:r>
      <w:r w:rsidR="00B9554C">
        <w:t>,</w:t>
      </w:r>
      <w:r w:rsidR="00825DB1">
        <w:t xml:space="preserve"> </w:t>
      </w:r>
      <w:r>
        <w:t xml:space="preserve">and overall OSIEA </w:t>
      </w:r>
      <w:r w:rsidR="00B9554C">
        <w:t>strategy</w:t>
      </w:r>
      <w:r>
        <w:t xml:space="preserve"> which aimed at increasing citizen’s demand for, and participation in, credible elections. </w:t>
      </w:r>
      <w:r w:rsidR="00B74FF4">
        <w:t xml:space="preserve">A total budget of USD. </w:t>
      </w:r>
      <w:r w:rsidR="00C30939">
        <w:t>1.3</w:t>
      </w:r>
      <w:r w:rsidR="0036792C">
        <w:t xml:space="preserve"> </w:t>
      </w:r>
      <w:r w:rsidR="00C30939">
        <w:t>M</w:t>
      </w:r>
      <w:r w:rsidR="00B74FF4">
        <w:t xml:space="preserve">illion </w:t>
      </w:r>
      <w:proofErr w:type="gramStart"/>
      <w:r w:rsidR="00C30939">
        <w:t>was</w:t>
      </w:r>
      <w:proofErr w:type="gramEnd"/>
      <w:r w:rsidR="00C30939">
        <w:t xml:space="preserve"> expended</w:t>
      </w:r>
      <w:r w:rsidR="00EA172E">
        <w:t>, with about 80%</w:t>
      </w:r>
      <w:r w:rsidR="00197089">
        <w:t xml:space="preserve"> coming fr</w:t>
      </w:r>
      <w:r w:rsidR="00EA172E">
        <w:t>om the Tanzania program budget</w:t>
      </w:r>
      <w:r w:rsidR="00B74FF4">
        <w:t>, 15</w:t>
      </w:r>
      <w:r w:rsidR="00F87917">
        <w:t xml:space="preserve">% </w:t>
      </w:r>
      <w:r w:rsidR="002E10EB">
        <w:t xml:space="preserve">from other OSIEA </w:t>
      </w:r>
      <w:r w:rsidR="00197089">
        <w:t>programs</w:t>
      </w:r>
      <w:r w:rsidR="00E40882">
        <w:t xml:space="preserve">, and </w:t>
      </w:r>
      <w:r w:rsidR="00EA172E">
        <w:t xml:space="preserve">4% </w:t>
      </w:r>
      <w:r w:rsidR="00E40882">
        <w:t>from the Africa Regional Office (</w:t>
      </w:r>
      <w:proofErr w:type="spellStart"/>
      <w:r w:rsidR="00E40882">
        <w:t>A</w:t>
      </w:r>
      <w:r w:rsidR="002E10EB">
        <w:t>f</w:t>
      </w:r>
      <w:r w:rsidR="00E40882">
        <w:t>RO</w:t>
      </w:r>
      <w:proofErr w:type="spellEnd"/>
      <w:r w:rsidR="00E40882">
        <w:t>)</w:t>
      </w:r>
      <w:r w:rsidR="00C30939">
        <w:t xml:space="preserve">. </w:t>
      </w:r>
      <w:r w:rsidR="000D7AA5">
        <w:t>One grant was co-funded with the Embassy of Denmark and the Canadian High Commission</w:t>
      </w:r>
      <w:r w:rsidR="00F31999">
        <w:t xml:space="preserve"> to </w:t>
      </w:r>
      <w:r w:rsidR="00326F1E">
        <w:t>a</w:t>
      </w:r>
      <w:r w:rsidR="00F31999">
        <w:t xml:space="preserve"> tune of about </w:t>
      </w:r>
      <w:r w:rsidR="00B74FF4">
        <w:t>USD. 1 Million.</w:t>
      </w:r>
    </w:p>
    <w:p w:rsidR="0054285E" w:rsidRPr="00CC5335" w:rsidRDefault="0054285E" w:rsidP="0054285E">
      <w:pPr>
        <w:spacing w:after="0"/>
        <w:jc w:val="both"/>
      </w:pPr>
    </w:p>
    <w:p w:rsidR="00642B6A" w:rsidRDefault="00642B6A" w:rsidP="0054285E">
      <w:pPr>
        <w:shd w:val="clear" w:color="auto" w:fill="17365D" w:themeFill="text2" w:themeFillShade="BF"/>
        <w:spacing w:after="0"/>
        <w:jc w:val="both"/>
        <w:rPr>
          <w:rFonts w:ascii="Garamond" w:hAnsi="Garamond"/>
          <w:b/>
        </w:rPr>
      </w:pPr>
      <w:r>
        <w:rPr>
          <w:rFonts w:ascii="Garamond" w:hAnsi="Garamond"/>
          <w:b/>
        </w:rPr>
        <w:t xml:space="preserve">CONTEXT </w:t>
      </w:r>
    </w:p>
    <w:p w:rsidR="00642B6A" w:rsidRDefault="00B74FF4" w:rsidP="0054285E">
      <w:pPr>
        <w:spacing w:after="0"/>
        <w:jc w:val="both"/>
      </w:pPr>
      <w:r>
        <w:t>As is true of many countries in Eastern Africa, elections in Tanzania</w:t>
      </w:r>
      <w:r w:rsidR="00642B6A">
        <w:t xml:space="preserve"> tend to be seasonal undertaking</w:t>
      </w:r>
      <w:r>
        <w:t xml:space="preserve">s with most actors only </w:t>
      </w:r>
      <w:r w:rsidR="00642B6A">
        <w:t xml:space="preserve">engaging </w:t>
      </w:r>
      <w:r>
        <w:t>haphazardly as the voting</w:t>
      </w:r>
      <w:r w:rsidR="00642B6A">
        <w:t xml:space="preserve"> day</w:t>
      </w:r>
      <w:r>
        <w:t xml:space="preserve"> draws closer</w:t>
      </w:r>
      <w:r w:rsidR="00642B6A">
        <w:t xml:space="preserve">. </w:t>
      </w:r>
      <w:r>
        <w:t xml:space="preserve">Yet, elections are a cycle with components that warrant a continuous process. </w:t>
      </w:r>
    </w:p>
    <w:p w:rsidR="0054285E" w:rsidRPr="00627A26" w:rsidRDefault="0054285E" w:rsidP="0054285E">
      <w:pPr>
        <w:spacing w:after="0"/>
        <w:jc w:val="both"/>
      </w:pPr>
    </w:p>
    <w:p w:rsidR="0081745A" w:rsidRDefault="0081745A" w:rsidP="0054285E">
      <w:pPr>
        <w:spacing w:after="0"/>
        <w:jc w:val="both"/>
        <w:rPr>
          <w:rFonts w:cstheme="minorHAnsi"/>
          <w:lang w:val="en-US"/>
        </w:rPr>
      </w:pPr>
      <w:r>
        <w:rPr>
          <w:rFonts w:cstheme="minorHAnsi"/>
          <w:lang w:val="en-US"/>
        </w:rPr>
        <w:t>The 2015 election was herald</w:t>
      </w:r>
      <w:r w:rsidR="0054285E">
        <w:rPr>
          <w:rFonts w:cstheme="minorHAnsi"/>
          <w:lang w:val="en-US"/>
        </w:rPr>
        <w:t>ed</w:t>
      </w:r>
      <w:r>
        <w:rPr>
          <w:rFonts w:cstheme="minorHAnsi"/>
          <w:lang w:val="en-US"/>
        </w:rPr>
        <w:t xml:space="preserve"> as </w:t>
      </w:r>
      <w:r w:rsidR="00642B6A">
        <w:rPr>
          <w:rFonts w:cstheme="minorHAnsi"/>
          <w:lang w:val="en-US"/>
        </w:rPr>
        <w:t>the first</w:t>
      </w:r>
      <w:r w:rsidR="00642B6A" w:rsidRPr="00C15F13">
        <w:rPr>
          <w:rFonts w:cstheme="minorHAnsi"/>
          <w:lang w:val="en-US"/>
        </w:rPr>
        <w:t xml:space="preserve"> true mu</w:t>
      </w:r>
      <w:r w:rsidR="0054285E">
        <w:rPr>
          <w:rFonts w:cstheme="minorHAnsi"/>
          <w:lang w:val="en-US"/>
        </w:rPr>
        <w:t>ltiparty election for Tanzania m</w:t>
      </w:r>
      <w:r w:rsidR="00642B6A" w:rsidRPr="00C15F13">
        <w:rPr>
          <w:rFonts w:cstheme="minorHAnsi"/>
          <w:lang w:val="en-US"/>
        </w:rPr>
        <w:t xml:space="preserve">ainland. </w:t>
      </w:r>
      <w:r>
        <w:rPr>
          <w:rFonts w:cstheme="minorHAnsi"/>
          <w:lang w:val="en-US"/>
        </w:rPr>
        <w:t xml:space="preserve">It pitted the ruling party Chama Cha </w:t>
      </w:r>
      <w:proofErr w:type="spellStart"/>
      <w:r>
        <w:rPr>
          <w:rFonts w:cstheme="minorHAnsi"/>
          <w:lang w:val="en-US"/>
        </w:rPr>
        <w:t>Mapinduzi</w:t>
      </w:r>
      <w:proofErr w:type="spellEnd"/>
      <w:r>
        <w:rPr>
          <w:rFonts w:cstheme="minorHAnsi"/>
          <w:lang w:val="en-US"/>
        </w:rPr>
        <w:t xml:space="preserve"> (CCM) against an opposition alliance </w:t>
      </w:r>
      <w:r w:rsidRPr="00C15F13">
        <w:rPr>
          <w:rFonts w:cstheme="minorHAnsi"/>
          <w:lang w:val="en-US"/>
        </w:rPr>
        <w:t>UKAWA</w:t>
      </w:r>
      <w:r>
        <w:rPr>
          <w:rFonts w:cstheme="minorHAnsi"/>
          <w:lang w:val="en-US"/>
        </w:rPr>
        <w:t xml:space="preserve"> (</w:t>
      </w:r>
      <w:proofErr w:type="spellStart"/>
      <w:r w:rsidRPr="0054285E">
        <w:rPr>
          <w:rFonts w:cstheme="minorHAnsi"/>
          <w:i/>
          <w:lang w:val="en-US"/>
        </w:rPr>
        <w:t>Umoja</w:t>
      </w:r>
      <w:proofErr w:type="spellEnd"/>
      <w:r w:rsidRPr="0054285E">
        <w:rPr>
          <w:rFonts w:cstheme="minorHAnsi"/>
          <w:i/>
          <w:lang w:val="en-US"/>
        </w:rPr>
        <w:t xml:space="preserve"> </w:t>
      </w:r>
      <w:proofErr w:type="spellStart"/>
      <w:r w:rsidRPr="0054285E">
        <w:rPr>
          <w:rFonts w:cstheme="minorHAnsi"/>
          <w:i/>
          <w:lang w:val="en-US"/>
        </w:rPr>
        <w:t>wa</w:t>
      </w:r>
      <w:proofErr w:type="spellEnd"/>
      <w:r w:rsidRPr="0054285E">
        <w:rPr>
          <w:rFonts w:cstheme="minorHAnsi"/>
          <w:i/>
          <w:lang w:val="en-US"/>
        </w:rPr>
        <w:t xml:space="preserve"> </w:t>
      </w:r>
      <w:proofErr w:type="spellStart"/>
      <w:r w:rsidRPr="0054285E">
        <w:rPr>
          <w:rFonts w:cstheme="minorHAnsi"/>
          <w:i/>
          <w:lang w:val="en-US"/>
        </w:rPr>
        <w:t>Katiba</w:t>
      </w:r>
      <w:proofErr w:type="spellEnd"/>
      <w:r w:rsidRPr="0054285E">
        <w:rPr>
          <w:rFonts w:cstheme="minorHAnsi"/>
          <w:i/>
          <w:lang w:val="en-US"/>
        </w:rPr>
        <w:t xml:space="preserve"> </w:t>
      </w:r>
      <w:proofErr w:type="spellStart"/>
      <w:r w:rsidRPr="0054285E">
        <w:rPr>
          <w:rFonts w:cstheme="minorHAnsi"/>
          <w:i/>
          <w:lang w:val="en-US"/>
        </w:rPr>
        <w:t>ya</w:t>
      </w:r>
      <w:proofErr w:type="spellEnd"/>
      <w:r w:rsidRPr="0054285E">
        <w:rPr>
          <w:rFonts w:cstheme="minorHAnsi"/>
          <w:i/>
          <w:lang w:val="en-US"/>
        </w:rPr>
        <w:t xml:space="preserve"> </w:t>
      </w:r>
      <w:proofErr w:type="spellStart"/>
      <w:r w:rsidRPr="0054285E">
        <w:rPr>
          <w:rFonts w:cstheme="minorHAnsi"/>
          <w:i/>
          <w:lang w:val="en-US"/>
        </w:rPr>
        <w:t>Wananchi</w:t>
      </w:r>
      <w:proofErr w:type="spellEnd"/>
      <w:r w:rsidR="0054285E">
        <w:rPr>
          <w:rFonts w:cstheme="minorHAnsi"/>
          <w:lang w:val="en-US"/>
        </w:rPr>
        <w:t>,</w:t>
      </w:r>
      <w:r>
        <w:rPr>
          <w:rFonts w:cstheme="minorHAnsi"/>
          <w:lang w:val="en-US"/>
        </w:rPr>
        <w:t xml:space="preserve"> meaning ‘Unity for a People’s Constitution’) leading to a shift in the political landscape of the country, as the two main presidential flag bearers were both strong and had a CCM history.</w:t>
      </w:r>
    </w:p>
    <w:p w:rsidR="0054285E" w:rsidRDefault="0054285E" w:rsidP="0054285E">
      <w:pPr>
        <w:spacing w:after="0"/>
        <w:jc w:val="both"/>
        <w:rPr>
          <w:rFonts w:cstheme="minorHAnsi"/>
          <w:lang w:val="en-US"/>
        </w:rPr>
      </w:pPr>
    </w:p>
    <w:p w:rsidR="00F357FD" w:rsidRDefault="00F357FD" w:rsidP="0054285E">
      <w:pPr>
        <w:spacing w:after="0"/>
        <w:jc w:val="both"/>
        <w:rPr>
          <w:rFonts w:cstheme="minorHAnsi"/>
          <w:lang w:val="en-US"/>
        </w:rPr>
      </w:pPr>
      <w:r>
        <w:rPr>
          <w:rFonts w:cstheme="minorHAnsi"/>
          <w:lang w:val="en-US"/>
        </w:rPr>
        <w:t>Regarding the legality that surrounds the electoral process, t</w:t>
      </w:r>
      <w:r w:rsidR="00642B6A" w:rsidRPr="00C15F13">
        <w:rPr>
          <w:rFonts w:cstheme="minorHAnsi"/>
          <w:lang w:val="en-US"/>
        </w:rPr>
        <w:t>he legal framework for both Union and Zanzibar does not provide the necessary foundation for the conduct of democratic elections that meet international and regional standards.</w:t>
      </w:r>
      <w:r w:rsidR="00642B6A" w:rsidRPr="00183959">
        <w:rPr>
          <w:rFonts w:cstheme="minorHAnsi"/>
          <w:vertAlign w:val="superscript"/>
          <w:lang w:val="en-US"/>
        </w:rPr>
        <w:footnoteReference w:id="1"/>
      </w:r>
      <w:r w:rsidR="00642B6A" w:rsidRPr="00C15F13">
        <w:rPr>
          <w:rFonts w:cstheme="minorHAnsi"/>
          <w:lang w:val="en-US"/>
        </w:rPr>
        <w:t xml:space="preserve"> </w:t>
      </w:r>
      <w:r>
        <w:rPr>
          <w:rFonts w:cstheme="minorHAnsi"/>
          <w:lang w:val="en-US"/>
        </w:rPr>
        <w:t xml:space="preserve">There are three main reasons for this: </w:t>
      </w:r>
    </w:p>
    <w:p w:rsidR="00F357FD" w:rsidRPr="00F357FD" w:rsidRDefault="00642B6A" w:rsidP="0054285E">
      <w:pPr>
        <w:pStyle w:val="ListParagraph"/>
        <w:numPr>
          <w:ilvl w:val="0"/>
          <w:numId w:val="2"/>
        </w:numPr>
        <w:spacing w:after="0"/>
        <w:jc w:val="both"/>
        <w:rPr>
          <w:rFonts w:cstheme="minorHAnsi"/>
          <w:lang w:val="en-US"/>
        </w:rPr>
      </w:pPr>
      <w:r w:rsidRPr="00F357FD">
        <w:rPr>
          <w:rFonts w:cstheme="minorHAnsi"/>
          <w:lang w:val="en-US"/>
        </w:rPr>
        <w:t>The National Electoral Commission and th</w:t>
      </w:r>
      <w:r w:rsidR="0054285E">
        <w:rPr>
          <w:rFonts w:cstheme="minorHAnsi"/>
          <w:lang w:val="en-US"/>
        </w:rPr>
        <w:t>e Zanzibar Electoral Commission</w:t>
      </w:r>
      <w:r w:rsidRPr="00F357FD">
        <w:rPr>
          <w:rFonts w:cstheme="minorHAnsi"/>
          <w:lang w:val="en-US"/>
        </w:rPr>
        <w:t xml:space="preserve"> are not independent or transparent according to international standards. The Commissioners are appointed by the President(s); moreover, the Union Commission does not have its own qualified staff at regional, district or local levels leading to divided loyalty among temporary staff hired from the local government to manage the elections; and </w:t>
      </w:r>
      <w:r w:rsidR="00F14078" w:rsidRPr="00F357FD">
        <w:rPr>
          <w:rFonts w:cstheme="minorHAnsi"/>
          <w:lang w:val="en-US"/>
        </w:rPr>
        <w:t>National Electoral Commission/Zanzibar Electoral Commission</w:t>
      </w:r>
      <w:r w:rsidR="00F357FD" w:rsidRPr="00F357FD">
        <w:rPr>
          <w:rFonts w:cstheme="minorHAnsi"/>
          <w:lang w:val="en-US"/>
        </w:rPr>
        <w:t xml:space="preserve"> (NEC/ZEC)</w:t>
      </w:r>
      <w:r w:rsidRPr="00F357FD">
        <w:rPr>
          <w:rFonts w:cstheme="minorHAnsi"/>
          <w:lang w:val="en-US"/>
        </w:rPr>
        <w:t xml:space="preserve"> lacks financial independence. Historically, the counting and tallying of election re</w:t>
      </w:r>
      <w:r w:rsidR="00F357FD" w:rsidRPr="00F357FD">
        <w:rPr>
          <w:rFonts w:cstheme="minorHAnsi"/>
          <w:lang w:val="en-US"/>
        </w:rPr>
        <w:t>sults ha</w:t>
      </w:r>
      <w:r w:rsidR="0054285E">
        <w:rPr>
          <w:rFonts w:cstheme="minorHAnsi"/>
          <w:lang w:val="en-US"/>
        </w:rPr>
        <w:t>s</w:t>
      </w:r>
      <w:r w:rsidR="00F357FD" w:rsidRPr="00F357FD">
        <w:rPr>
          <w:rFonts w:cstheme="minorHAnsi"/>
          <w:lang w:val="en-US"/>
        </w:rPr>
        <w:t xml:space="preserve"> been problematic.</w:t>
      </w:r>
    </w:p>
    <w:p w:rsidR="00F357FD" w:rsidRDefault="00642B6A" w:rsidP="0054285E">
      <w:pPr>
        <w:pStyle w:val="ListParagraph"/>
        <w:numPr>
          <w:ilvl w:val="0"/>
          <w:numId w:val="2"/>
        </w:numPr>
        <w:spacing w:after="0"/>
        <w:jc w:val="both"/>
        <w:rPr>
          <w:rFonts w:cstheme="minorHAnsi"/>
          <w:lang w:val="en-US"/>
        </w:rPr>
      </w:pPr>
      <w:r w:rsidRPr="00F357FD">
        <w:rPr>
          <w:rFonts w:cstheme="minorHAnsi"/>
          <w:lang w:val="en-US"/>
        </w:rPr>
        <w:t>The Constitution prevents the jurisdiction of the Court from inquiring into anything done by the Commission in discharging its functio</w:t>
      </w:r>
      <w:r w:rsidR="0054285E">
        <w:rPr>
          <w:rFonts w:cstheme="minorHAnsi"/>
          <w:lang w:val="en-US"/>
        </w:rPr>
        <w:t>ns pursuant to the Constitution</w:t>
      </w:r>
      <w:r w:rsidRPr="00183959">
        <w:rPr>
          <w:vertAlign w:val="superscript"/>
          <w:lang w:val="en-US"/>
        </w:rPr>
        <w:footnoteReference w:id="2"/>
      </w:r>
      <w:r w:rsidR="0054285E">
        <w:rPr>
          <w:rFonts w:cstheme="minorHAnsi"/>
          <w:lang w:val="en-US"/>
        </w:rPr>
        <w:t>.</w:t>
      </w:r>
      <w:r w:rsidRPr="00F357FD">
        <w:rPr>
          <w:rFonts w:cstheme="minorHAnsi"/>
          <w:lang w:val="en-US"/>
        </w:rPr>
        <w:t xml:space="preserve"> Furthermore, the court is denied jurisdiction from hearing presidential results disputes</w:t>
      </w:r>
      <w:r w:rsidR="0054285E">
        <w:rPr>
          <w:rFonts w:cstheme="minorHAnsi"/>
          <w:lang w:val="en-US"/>
        </w:rPr>
        <w:t>.</w:t>
      </w:r>
    </w:p>
    <w:p w:rsidR="00642B6A" w:rsidRPr="00A462C4" w:rsidRDefault="00F357FD" w:rsidP="0054285E">
      <w:pPr>
        <w:pStyle w:val="ListParagraph"/>
        <w:numPr>
          <w:ilvl w:val="0"/>
          <w:numId w:val="2"/>
        </w:numPr>
        <w:spacing w:after="0"/>
        <w:jc w:val="both"/>
        <w:rPr>
          <w:rFonts w:cstheme="minorHAnsi"/>
          <w:lang w:val="en-US"/>
        </w:rPr>
      </w:pPr>
      <w:r>
        <w:rPr>
          <w:rFonts w:cstheme="minorHAnsi"/>
          <w:lang w:val="en-US"/>
        </w:rPr>
        <w:t>D</w:t>
      </w:r>
      <w:r w:rsidR="00C87768" w:rsidRPr="00F357FD">
        <w:rPr>
          <w:rFonts w:cstheme="minorHAnsi"/>
          <w:lang w:val="en-US"/>
        </w:rPr>
        <w:t>espite</w:t>
      </w:r>
      <w:r w:rsidR="00642B6A" w:rsidRPr="00F357FD">
        <w:rPr>
          <w:rFonts w:cstheme="minorHAnsi"/>
          <w:lang w:val="en-US"/>
        </w:rPr>
        <w:t xml:space="preserve"> the decision by the African Court, there is still no provision for independent candidates to contest elections in Tanzania. </w:t>
      </w:r>
    </w:p>
    <w:p w:rsidR="0054285E" w:rsidRDefault="0054285E" w:rsidP="0054285E">
      <w:pPr>
        <w:spacing w:after="0"/>
        <w:jc w:val="both"/>
        <w:rPr>
          <w:rFonts w:eastAsia="Times New Roman" w:cstheme="minorHAnsi"/>
        </w:rPr>
      </w:pPr>
    </w:p>
    <w:p w:rsidR="00F357FD" w:rsidRDefault="00642B6A" w:rsidP="0054285E">
      <w:pPr>
        <w:spacing w:after="0"/>
        <w:jc w:val="both"/>
        <w:rPr>
          <w:rFonts w:eastAsia="Times New Roman" w:cstheme="minorHAnsi"/>
        </w:rPr>
      </w:pPr>
      <w:r w:rsidRPr="00C15F13">
        <w:rPr>
          <w:rFonts w:eastAsia="Times New Roman" w:cstheme="minorHAnsi"/>
        </w:rPr>
        <w:t>According to NEC, the Biometric Voter R</w:t>
      </w:r>
      <w:r w:rsidR="00480C7F">
        <w:rPr>
          <w:rFonts w:eastAsia="Times New Roman" w:cstheme="minorHAnsi"/>
        </w:rPr>
        <w:t>egistration (BVR</w:t>
      </w:r>
      <w:r w:rsidR="00F357FD">
        <w:rPr>
          <w:rFonts w:eastAsia="Times New Roman" w:cstheme="minorHAnsi"/>
        </w:rPr>
        <w:t>) exercise</w:t>
      </w:r>
      <w:r w:rsidR="00480C7F">
        <w:rPr>
          <w:rFonts w:eastAsia="Times New Roman" w:cstheme="minorHAnsi"/>
        </w:rPr>
        <w:t xml:space="preserve"> </w:t>
      </w:r>
      <w:r w:rsidRPr="00C15F13">
        <w:rPr>
          <w:rFonts w:eastAsia="Times New Roman" w:cstheme="minorHAnsi"/>
        </w:rPr>
        <w:t>registered about 96% o</w:t>
      </w:r>
      <w:r w:rsidR="00480C7F">
        <w:rPr>
          <w:rFonts w:eastAsia="Times New Roman" w:cstheme="minorHAnsi"/>
        </w:rPr>
        <w:t xml:space="preserve">f eligible voters though it </w:t>
      </w:r>
      <w:r w:rsidR="00F357FD">
        <w:rPr>
          <w:rFonts w:eastAsia="Times New Roman" w:cstheme="minorHAnsi"/>
        </w:rPr>
        <w:t xml:space="preserve">faced a number of hiccups. </w:t>
      </w:r>
      <w:r w:rsidRPr="00C15F13">
        <w:rPr>
          <w:rFonts w:eastAsia="Times New Roman" w:cstheme="minorHAnsi"/>
        </w:rPr>
        <w:t xml:space="preserve">NEC is </w:t>
      </w:r>
      <w:r w:rsidR="00F357FD">
        <w:rPr>
          <w:rFonts w:eastAsia="Times New Roman" w:cstheme="minorHAnsi"/>
        </w:rPr>
        <w:t xml:space="preserve">also </w:t>
      </w:r>
      <w:r w:rsidRPr="00C15F13">
        <w:rPr>
          <w:rFonts w:eastAsia="Times New Roman" w:cstheme="minorHAnsi"/>
        </w:rPr>
        <w:t xml:space="preserve">mandated by law to provide as well as </w:t>
      </w:r>
      <w:r w:rsidR="00F357FD">
        <w:rPr>
          <w:rFonts w:eastAsia="Times New Roman" w:cstheme="minorHAnsi"/>
        </w:rPr>
        <w:lastRenderedPageBreak/>
        <w:t>coordinate voter education. It</w:t>
      </w:r>
      <w:r w:rsidRPr="00C15F13">
        <w:rPr>
          <w:rFonts w:eastAsia="Times New Roman" w:cstheme="minorHAnsi"/>
        </w:rPr>
        <w:t xml:space="preserve"> ha</w:t>
      </w:r>
      <w:r w:rsidR="00844940">
        <w:rPr>
          <w:rFonts w:eastAsia="Times New Roman" w:cstheme="minorHAnsi"/>
        </w:rPr>
        <w:t>d</w:t>
      </w:r>
      <w:r w:rsidRPr="00C15F13">
        <w:rPr>
          <w:rFonts w:eastAsia="Times New Roman" w:cstheme="minorHAnsi"/>
        </w:rPr>
        <w:t xml:space="preserve"> invited institutions that wish</w:t>
      </w:r>
      <w:r w:rsidR="00F357FD">
        <w:rPr>
          <w:rFonts w:eastAsia="Times New Roman" w:cstheme="minorHAnsi"/>
        </w:rPr>
        <w:t>ed</w:t>
      </w:r>
      <w:r w:rsidRPr="00C15F13">
        <w:rPr>
          <w:rFonts w:eastAsia="Times New Roman" w:cstheme="minorHAnsi"/>
        </w:rPr>
        <w:t xml:space="preserve"> to conduct voter education to seek permission. </w:t>
      </w:r>
      <w:r w:rsidR="00F357FD">
        <w:rPr>
          <w:rFonts w:eastAsia="Times New Roman" w:cstheme="minorHAnsi"/>
        </w:rPr>
        <w:t>Voter education nevertheless started late and did not seem to address lessons learnt from the previous election.</w:t>
      </w:r>
    </w:p>
    <w:p w:rsidR="00326FB2" w:rsidRDefault="00326FB2" w:rsidP="0054285E">
      <w:pPr>
        <w:spacing w:after="0"/>
        <w:jc w:val="both"/>
        <w:rPr>
          <w:rFonts w:eastAsia="Times New Roman" w:cstheme="minorHAnsi"/>
        </w:rPr>
      </w:pPr>
    </w:p>
    <w:p w:rsidR="003C1EC5" w:rsidRDefault="00642B6A" w:rsidP="0054285E">
      <w:pPr>
        <w:spacing w:after="0"/>
        <w:jc w:val="both"/>
        <w:rPr>
          <w:rFonts w:eastAsia="Times New Roman" w:cstheme="minorHAnsi"/>
        </w:rPr>
      </w:pPr>
      <w:r w:rsidRPr="00C15F13">
        <w:rPr>
          <w:rFonts w:eastAsia="Times New Roman" w:cstheme="minorHAnsi"/>
        </w:rPr>
        <w:t>Funding of election activities is stipulated in the National Elections Act and states that all expenses in the preparation of the register, the issuing of voters card</w:t>
      </w:r>
      <w:r w:rsidR="00326FB2">
        <w:rPr>
          <w:rFonts w:eastAsia="Times New Roman" w:cstheme="minorHAnsi"/>
        </w:rPr>
        <w:t>s</w:t>
      </w:r>
      <w:r w:rsidRPr="00C15F13">
        <w:rPr>
          <w:rFonts w:eastAsia="Times New Roman" w:cstheme="minorHAnsi"/>
        </w:rPr>
        <w:t xml:space="preserve"> and such other matters as may be required to conduct the election shall be paid out of Consolidated Fund. </w:t>
      </w:r>
      <w:r w:rsidR="00C444CE">
        <w:rPr>
          <w:rFonts w:eastAsia="Times New Roman" w:cstheme="minorHAnsi"/>
        </w:rPr>
        <w:t>There was</w:t>
      </w:r>
      <w:r w:rsidRPr="00C15F13">
        <w:rPr>
          <w:rFonts w:eastAsia="Times New Roman" w:cstheme="minorHAnsi"/>
        </w:rPr>
        <w:t xml:space="preserve"> late disbursement of funds</w:t>
      </w:r>
      <w:r w:rsidR="00C444CE">
        <w:rPr>
          <w:rFonts w:eastAsia="Times New Roman" w:cstheme="minorHAnsi"/>
        </w:rPr>
        <w:t>, which also fell</w:t>
      </w:r>
      <w:r w:rsidRPr="00C15F13">
        <w:rPr>
          <w:rFonts w:eastAsia="Times New Roman" w:cstheme="minorHAnsi"/>
        </w:rPr>
        <w:t xml:space="preserve"> short of budget. Donor support to CSOs could have been </w:t>
      </w:r>
      <w:r w:rsidRPr="00C15F13">
        <w:rPr>
          <w:rFonts w:cstheme="minorHAnsi"/>
          <w:lang w:val="en-US"/>
        </w:rPr>
        <w:t>more</w:t>
      </w:r>
      <w:r w:rsidRPr="00C15F13">
        <w:rPr>
          <w:rFonts w:eastAsia="Times New Roman" w:cstheme="minorHAnsi"/>
        </w:rPr>
        <w:t xml:space="preserve"> coordinated to </w:t>
      </w:r>
      <w:r w:rsidR="00C444CE">
        <w:rPr>
          <w:rFonts w:eastAsia="Times New Roman" w:cstheme="minorHAnsi"/>
        </w:rPr>
        <w:t>fill the gaps.</w:t>
      </w:r>
      <w:r w:rsidRPr="00C15F13">
        <w:rPr>
          <w:rFonts w:eastAsia="Times New Roman" w:cstheme="minorHAnsi"/>
        </w:rPr>
        <w:t xml:space="preserve"> </w:t>
      </w:r>
      <w:r w:rsidR="00C444CE">
        <w:rPr>
          <w:rFonts w:eastAsia="Times New Roman" w:cstheme="minorHAnsi"/>
        </w:rPr>
        <w:t xml:space="preserve">Police were more restrained in their handling of crowds during such a contested election. The media was also relatively fair in its coverage though work on media freedom needs to be undertaken. </w:t>
      </w:r>
      <w:r w:rsidRPr="00C15F13">
        <w:rPr>
          <w:rFonts w:eastAsia="Times New Roman" w:cstheme="minorHAnsi"/>
        </w:rPr>
        <w:t xml:space="preserve">CSOs </w:t>
      </w:r>
      <w:r w:rsidR="00980E0A">
        <w:rPr>
          <w:rFonts w:eastAsia="Times New Roman" w:cstheme="minorHAnsi"/>
        </w:rPr>
        <w:t xml:space="preserve">on their part </w:t>
      </w:r>
      <w:r w:rsidR="00C444CE">
        <w:rPr>
          <w:rFonts w:eastAsia="Times New Roman" w:cstheme="minorHAnsi"/>
        </w:rPr>
        <w:t>engaged though l</w:t>
      </w:r>
      <w:r w:rsidR="00980E0A">
        <w:rPr>
          <w:rFonts w:eastAsia="Times New Roman" w:cstheme="minorHAnsi"/>
        </w:rPr>
        <w:t xml:space="preserve">imited capacities and </w:t>
      </w:r>
      <w:r w:rsidRPr="00C15F13">
        <w:rPr>
          <w:rFonts w:cstheme="minorHAnsi"/>
        </w:rPr>
        <w:t>lack</w:t>
      </w:r>
      <w:r w:rsidRPr="00C15F13">
        <w:rPr>
          <w:rFonts w:eastAsia="Times New Roman" w:cstheme="minorHAnsi"/>
        </w:rPr>
        <w:t xml:space="preserve"> </w:t>
      </w:r>
      <w:r w:rsidR="00C444CE">
        <w:rPr>
          <w:rFonts w:eastAsia="Times New Roman" w:cstheme="minorHAnsi"/>
        </w:rPr>
        <w:t>of sufficient funds still remain</w:t>
      </w:r>
      <w:r w:rsidRPr="00C15F13">
        <w:rPr>
          <w:rFonts w:eastAsia="Times New Roman" w:cstheme="minorHAnsi"/>
        </w:rPr>
        <w:t xml:space="preserve"> a significant limitation to their effective en</w:t>
      </w:r>
      <w:r w:rsidR="00980E0A">
        <w:rPr>
          <w:rFonts w:eastAsia="Times New Roman" w:cstheme="minorHAnsi"/>
        </w:rPr>
        <w:t>g</w:t>
      </w:r>
      <w:r w:rsidRPr="00C15F13">
        <w:rPr>
          <w:rFonts w:eastAsia="Times New Roman" w:cstheme="minorHAnsi"/>
        </w:rPr>
        <w:t xml:space="preserve">agement. </w:t>
      </w:r>
    </w:p>
    <w:p w:rsidR="00326FB2" w:rsidRPr="00C444CE" w:rsidRDefault="00326FB2" w:rsidP="0054285E">
      <w:pPr>
        <w:spacing w:after="0"/>
        <w:jc w:val="both"/>
        <w:rPr>
          <w:rFonts w:eastAsia="Times New Roman" w:cstheme="minorHAnsi"/>
        </w:rPr>
      </w:pPr>
    </w:p>
    <w:p w:rsidR="00F87917" w:rsidRPr="00BF52D3" w:rsidRDefault="00C30939" w:rsidP="0054285E">
      <w:pPr>
        <w:shd w:val="clear" w:color="auto" w:fill="17365D" w:themeFill="text2" w:themeFillShade="BF"/>
        <w:spacing w:after="0"/>
        <w:jc w:val="both"/>
        <w:rPr>
          <w:rFonts w:ascii="Garamond" w:hAnsi="Garamond"/>
          <w:b/>
        </w:rPr>
      </w:pPr>
      <w:r w:rsidRPr="00BF52D3">
        <w:rPr>
          <w:rFonts w:ascii="Garamond" w:hAnsi="Garamond"/>
          <w:b/>
        </w:rPr>
        <w:t>OUR AMBITIONS</w:t>
      </w:r>
      <w:r w:rsidR="00BF52D3" w:rsidRPr="00BF52D3">
        <w:rPr>
          <w:rFonts w:ascii="Garamond" w:hAnsi="Garamond"/>
          <w:b/>
        </w:rPr>
        <w:t xml:space="preserve"> AND ASSUMPTIONS</w:t>
      </w:r>
    </w:p>
    <w:p w:rsidR="00B067BA" w:rsidRDefault="00B067BA" w:rsidP="0054285E">
      <w:pPr>
        <w:spacing w:after="0"/>
        <w:jc w:val="both"/>
        <w:rPr>
          <w:rFonts w:cstheme="minorHAnsi"/>
        </w:rPr>
      </w:pPr>
      <w:r>
        <w:t xml:space="preserve">Goal 2 of the </w:t>
      </w:r>
      <w:r w:rsidR="00C444CE">
        <w:t>OSIEA</w:t>
      </w:r>
      <w:r w:rsidR="00062CB9">
        <w:t xml:space="preserve"> Tanzania 2014-2017</w:t>
      </w:r>
      <w:r>
        <w:t xml:space="preserve"> strategy is focused on </w:t>
      </w:r>
      <w:r w:rsidR="00062CB9">
        <w:t>i</w:t>
      </w:r>
      <w:r w:rsidRPr="00B067BA">
        <w:rPr>
          <w:rFonts w:cstheme="minorHAnsi"/>
        </w:rPr>
        <w:t>ncreas</w:t>
      </w:r>
      <w:r>
        <w:rPr>
          <w:rFonts w:cstheme="minorHAnsi"/>
        </w:rPr>
        <w:t>ing</w:t>
      </w:r>
      <w:r w:rsidRPr="00B067BA">
        <w:rPr>
          <w:rFonts w:cstheme="minorHAnsi"/>
        </w:rPr>
        <w:t xml:space="preserve"> citizens’ demand for, and participation in, credible elections.</w:t>
      </w:r>
      <w:r w:rsidR="00717568">
        <w:rPr>
          <w:rFonts w:cstheme="minorHAnsi"/>
        </w:rPr>
        <w:t xml:space="preserve"> This is anchored on OSIEA’s</w:t>
      </w:r>
      <w:r w:rsidR="00062CB9">
        <w:rPr>
          <w:rFonts w:cstheme="minorHAnsi"/>
        </w:rPr>
        <w:t xml:space="preserve"> overall</w:t>
      </w:r>
      <w:r w:rsidR="00717568">
        <w:rPr>
          <w:rFonts w:cstheme="minorHAnsi"/>
        </w:rPr>
        <w:t xml:space="preserve"> category of work on political participation</w:t>
      </w:r>
      <w:r w:rsidR="00587EDB">
        <w:rPr>
          <w:rFonts w:cstheme="minorHAnsi"/>
        </w:rPr>
        <w:t xml:space="preserve"> and human rights</w:t>
      </w:r>
      <w:r w:rsidR="00717568">
        <w:rPr>
          <w:rFonts w:cstheme="minorHAnsi"/>
        </w:rPr>
        <w:t>. Key objectives</w:t>
      </w:r>
      <w:r w:rsidR="00C444CE">
        <w:rPr>
          <w:rFonts w:cstheme="minorHAnsi"/>
        </w:rPr>
        <w:t xml:space="preserve"> include</w:t>
      </w:r>
      <w:r w:rsidR="00062CB9">
        <w:rPr>
          <w:rFonts w:cstheme="minorHAnsi"/>
        </w:rPr>
        <w:t>:</w:t>
      </w:r>
      <w:r w:rsidR="00587EDB">
        <w:rPr>
          <w:rFonts w:cstheme="minorHAnsi"/>
        </w:rPr>
        <w:t xml:space="preserve"> a</w:t>
      </w:r>
      <w:r w:rsidR="00587EDB" w:rsidRPr="00587EDB">
        <w:rPr>
          <w:rFonts w:cstheme="minorHAnsi"/>
        </w:rPr>
        <w:t>)</w:t>
      </w:r>
      <w:r w:rsidR="00587EDB" w:rsidRPr="00587EDB">
        <w:rPr>
          <w:rFonts w:ascii="Candara" w:hAnsi="Candara" w:cs="Times New Roman"/>
        </w:rPr>
        <w:t xml:space="preserve"> </w:t>
      </w:r>
      <w:r w:rsidR="00757BE1">
        <w:rPr>
          <w:rFonts w:cstheme="minorHAnsi"/>
        </w:rPr>
        <w:t>c</w:t>
      </w:r>
      <w:r w:rsidR="00587EDB" w:rsidRPr="00587EDB">
        <w:rPr>
          <w:rFonts w:cstheme="minorHAnsi"/>
        </w:rPr>
        <w:t>ivil society organizations demand timely amendments and implementation of electoral laws to provide for an independent electoral commission and credible elections</w:t>
      </w:r>
      <w:r w:rsidR="00757BE1">
        <w:rPr>
          <w:rFonts w:cstheme="minorHAnsi"/>
        </w:rPr>
        <w:t>; and</w:t>
      </w:r>
      <w:r w:rsidR="00587EDB" w:rsidRPr="00587EDB">
        <w:rPr>
          <w:rFonts w:cstheme="minorHAnsi"/>
        </w:rPr>
        <w:t xml:space="preserve"> b)</w:t>
      </w:r>
      <w:r w:rsidR="00757BE1">
        <w:rPr>
          <w:rFonts w:cstheme="minorHAnsi"/>
          <w:b/>
        </w:rPr>
        <w:t xml:space="preserve"> </w:t>
      </w:r>
      <w:r w:rsidR="00587EDB" w:rsidRPr="00587EDB">
        <w:rPr>
          <w:rFonts w:cstheme="minorHAnsi"/>
        </w:rPr>
        <w:t>increase youth voter registration and participation through the use of popular culture</w:t>
      </w:r>
      <w:r w:rsidR="00587EDB">
        <w:rPr>
          <w:rFonts w:cstheme="minorHAnsi"/>
        </w:rPr>
        <w:t>.</w:t>
      </w:r>
      <w:r w:rsidR="00980E0A">
        <w:rPr>
          <w:rFonts w:cstheme="minorHAnsi"/>
        </w:rPr>
        <w:t xml:space="preserve"> Our overall aim </w:t>
      </w:r>
      <w:r w:rsidR="003C1EC5">
        <w:rPr>
          <w:rFonts w:cstheme="minorHAnsi"/>
        </w:rPr>
        <w:t xml:space="preserve">was </w:t>
      </w:r>
      <w:r w:rsidR="00980E0A">
        <w:rPr>
          <w:rFonts w:cstheme="minorHAnsi"/>
        </w:rPr>
        <w:t xml:space="preserve">therefore </w:t>
      </w:r>
      <w:r w:rsidR="003C1EC5">
        <w:rPr>
          <w:rFonts w:cstheme="minorHAnsi"/>
        </w:rPr>
        <w:t>to ensure that electorates exercise</w:t>
      </w:r>
      <w:r w:rsidR="00980E0A">
        <w:rPr>
          <w:rFonts w:cstheme="minorHAnsi"/>
        </w:rPr>
        <w:t>d</w:t>
      </w:r>
      <w:r w:rsidR="003C1EC5">
        <w:rPr>
          <w:rFonts w:cstheme="minorHAnsi"/>
        </w:rPr>
        <w:t xml:space="preserve"> their democratic right</w:t>
      </w:r>
      <w:r w:rsidR="00757BE1">
        <w:rPr>
          <w:rFonts w:cstheme="minorHAnsi"/>
        </w:rPr>
        <w:t>s</w:t>
      </w:r>
      <w:r w:rsidR="003C1EC5">
        <w:rPr>
          <w:rFonts w:cstheme="minorHAnsi"/>
        </w:rPr>
        <w:t xml:space="preserve">. </w:t>
      </w:r>
    </w:p>
    <w:p w:rsidR="00326FB2" w:rsidRPr="00587EDB" w:rsidRDefault="00326FB2" w:rsidP="0054285E">
      <w:pPr>
        <w:spacing w:after="0"/>
        <w:jc w:val="both"/>
        <w:rPr>
          <w:rFonts w:cstheme="minorHAnsi"/>
        </w:rPr>
      </w:pPr>
    </w:p>
    <w:p w:rsidR="00312821" w:rsidRDefault="00C444CE" w:rsidP="0054285E">
      <w:pPr>
        <w:spacing w:after="0"/>
        <w:jc w:val="both"/>
      </w:pPr>
      <w:r>
        <w:t>Being cognizant of</w:t>
      </w:r>
      <w:r w:rsidR="001C0F4A">
        <w:t xml:space="preserve"> our limited </w:t>
      </w:r>
      <w:r w:rsidR="00197089">
        <w:t xml:space="preserve">expertise on the subject, </w:t>
      </w:r>
      <w:r w:rsidR="00980E0A">
        <w:t>OSIEA sought the input</w:t>
      </w:r>
      <w:r w:rsidR="001C0F4A">
        <w:t xml:space="preserve"> o</w:t>
      </w:r>
      <w:r w:rsidR="00757BE1">
        <w:t>f the Africa Regional Office (</w:t>
      </w:r>
      <w:proofErr w:type="spellStart"/>
      <w:r w:rsidR="00757BE1">
        <w:t>Af</w:t>
      </w:r>
      <w:r w:rsidR="001C0F4A">
        <w:t>RO</w:t>
      </w:r>
      <w:proofErr w:type="spellEnd"/>
      <w:r w:rsidR="001C0F4A">
        <w:t>)</w:t>
      </w:r>
      <w:r w:rsidR="00D17592">
        <w:t xml:space="preserve"> Election</w:t>
      </w:r>
      <w:r w:rsidR="001C0F4A">
        <w:t xml:space="preserve"> Cluster in designing </w:t>
      </w:r>
      <w:r w:rsidR="00B9554C">
        <w:t>its</w:t>
      </w:r>
      <w:r w:rsidR="001C0F4A">
        <w:t xml:space="preserve"> engagement</w:t>
      </w:r>
      <w:r w:rsidR="00B9554C">
        <w:t xml:space="preserve"> strategy</w:t>
      </w:r>
      <w:r w:rsidR="001C0F4A">
        <w:t>.</w:t>
      </w:r>
      <w:r w:rsidR="00757BE1">
        <w:t xml:space="preserve"> </w:t>
      </w:r>
      <w:r w:rsidR="001C0F4A">
        <w:t>This resulted in several c</w:t>
      </w:r>
      <w:r>
        <w:t xml:space="preserve">onsultations, in and outside </w:t>
      </w:r>
      <w:r w:rsidR="001C0F4A">
        <w:t>Tanza</w:t>
      </w:r>
      <w:r>
        <w:t xml:space="preserve">nia </w:t>
      </w:r>
      <w:r w:rsidR="001C0F4A">
        <w:t xml:space="preserve">with relevant electoral stakeholders </w:t>
      </w:r>
      <w:r w:rsidR="002E04D6">
        <w:t xml:space="preserve">in order </w:t>
      </w:r>
      <w:r w:rsidR="001C0F4A">
        <w:t xml:space="preserve">to have a clear understanding of the level of their engagement, gaps, and possibilities for collaboration. </w:t>
      </w:r>
      <w:r w:rsidR="00B9554C">
        <w:t>These</w:t>
      </w:r>
      <w:r w:rsidR="002E2A7C">
        <w:t xml:space="preserve"> consultations were followed </w:t>
      </w:r>
      <w:r w:rsidR="00B9554C">
        <w:t>by a high level multi-stakeholder convening in 2014</w:t>
      </w:r>
      <w:r w:rsidR="002E2A7C">
        <w:t>, and a desktop research which</w:t>
      </w:r>
      <w:r w:rsidR="00B9554C">
        <w:t xml:space="preserve"> further helped </w:t>
      </w:r>
      <w:r>
        <w:t>shape</w:t>
      </w:r>
      <w:r w:rsidR="00B9554C">
        <w:t xml:space="preserve"> the OSIEA Tanzania strategy for engagement</w:t>
      </w:r>
      <w:r w:rsidR="002E2A7C">
        <w:t xml:space="preserve">. </w:t>
      </w:r>
      <w:r w:rsidR="00B9554C">
        <w:t xml:space="preserve">Three issues came out </w:t>
      </w:r>
      <w:r w:rsidR="00E40882">
        <w:t>of</w:t>
      </w:r>
      <w:r w:rsidR="00312821">
        <w:t xml:space="preserve"> these consultations:</w:t>
      </w:r>
    </w:p>
    <w:p w:rsidR="00312821" w:rsidRDefault="00312821" w:rsidP="0054285E">
      <w:pPr>
        <w:pStyle w:val="ListParagraph"/>
        <w:numPr>
          <w:ilvl w:val="0"/>
          <w:numId w:val="3"/>
        </w:numPr>
        <w:spacing w:after="0"/>
        <w:jc w:val="both"/>
      </w:pPr>
      <w:r>
        <w:t>D</w:t>
      </w:r>
      <w:r w:rsidR="00B9554C">
        <w:t>onor support to civil society organisations on elections was not adequate</w:t>
      </w:r>
      <w:r w:rsidR="00D17592">
        <w:t xml:space="preserve"> especially </w:t>
      </w:r>
      <w:r>
        <w:t xml:space="preserve">for </w:t>
      </w:r>
      <w:r w:rsidR="00D17592">
        <w:t>those focused on civic and voter education</w:t>
      </w:r>
      <w:r w:rsidR="00757BE1">
        <w:t>.</w:t>
      </w:r>
    </w:p>
    <w:p w:rsidR="00312821" w:rsidRDefault="00312821" w:rsidP="0054285E">
      <w:pPr>
        <w:pStyle w:val="ListParagraph"/>
        <w:numPr>
          <w:ilvl w:val="0"/>
          <w:numId w:val="3"/>
        </w:numPr>
        <w:spacing w:after="0"/>
        <w:jc w:val="both"/>
      </w:pPr>
      <w:r>
        <w:t>A</w:t>
      </w:r>
      <w:r w:rsidR="002E04D6">
        <w:t xml:space="preserve"> </w:t>
      </w:r>
      <w:r w:rsidR="00B9554C">
        <w:t>limited number of civil society</w:t>
      </w:r>
      <w:r>
        <w:t xml:space="preserve"> groups</w:t>
      </w:r>
      <w:r w:rsidR="00D17592">
        <w:t xml:space="preserve"> </w:t>
      </w:r>
      <w:r>
        <w:t xml:space="preserve">had </w:t>
      </w:r>
      <w:r w:rsidR="00D17592">
        <w:t>the right capacities to engage with the process</w:t>
      </w:r>
      <w:r w:rsidR="00E40882">
        <w:t xml:space="preserve"> effectively</w:t>
      </w:r>
      <w:r w:rsidR="00757BE1">
        <w:t>.</w:t>
      </w:r>
    </w:p>
    <w:p w:rsidR="00556862" w:rsidRDefault="00312821" w:rsidP="0054285E">
      <w:pPr>
        <w:pStyle w:val="ListParagraph"/>
        <w:numPr>
          <w:ilvl w:val="0"/>
          <w:numId w:val="3"/>
        </w:numPr>
        <w:spacing w:after="0"/>
        <w:jc w:val="both"/>
      </w:pPr>
      <w:r>
        <w:t>T</w:t>
      </w:r>
      <w:r w:rsidR="00D17592">
        <w:t>here w</w:t>
      </w:r>
      <w:r w:rsidR="002E04D6">
        <w:t>as</w:t>
      </w:r>
      <w:r w:rsidR="00D17592">
        <w:t xml:space="preserve"> great mistrust amongst actors including CSOs, political parties and electoral management bodies</w:t>
      </w:r>
      <w:r w:rsidR="002E04D6">
        <w:t xml:space="preserve">, </w:t>
      </w:r>
      <w:r w:rsidR="00D17592">
        <w:t xml:space="preserve">especially </w:t>
      </w:r>
      <w:r w:rsidR="000212C5">
        <w:t xml:space="preserve">towards </w:t>
      </w:r>
      <w:r w:rsidR="00D17592">
        <w:t>the electoral commissions</w:t>
      </w:r>
      <w:r w:rsidR="002E04D6">
        <w:t>,</w:t>
      </w:r>
      <w:r w:rsidR="008E7CEF">
        <w:t xml:space="preserve"> hence unwillingness to collaborate</w:t>
      </w:r>
      <w:r w:rsidR="00D17592">
        <w:t xml:space="preserve">. </w:t>
      </w:r>
    </w:p>
    <w:p w:rsidR="00757BE1" w:rsidRDefault="00757BE1" w:rsidP="0054285E">
      <w:pPr>
        <w:spacing w:after="0"/>
        <w:jc w:val="both"/>
      </w:pPr>
    </w:p>
    <w:p w:rsidR="00312821" w:rsidRDefault="008E7CEF" w:rsidP="0054285E">
      <w:pPr>
        <w:spacing w:after="0"/>
        <w:jc w:val="both"/>
      </w:pPr>
      <w:r>
        <w:t>In an eff</w:t>
      </w:r>
      <w:r w:rsidR="00556862">
        <w:t>ort to address the</w:t>
      </w:r>
      <w:r>
        <w:t xml:space="preserve"> issues</w:t>
      </w:r>
      <w:r w:rsidR="00556862">
        <w:t xml:space="preserve"> above</w:t>
      </w:r>
      <w:r>
        <w:t>, while remain</w:t>
      </w:r>
      <w:r w:rsidR="00781980">
        <w:t>ing true to our</w:t>
      </w:r>
      <w:r>
        <w:t xml:space="preserve"> overall goal and bearing in mind our limited budget</w:t>
      </w:r>
      <w:r w:rsidR="009C6CC0">
        <w:t>, OSIEA</w:t>
      </w:r>
      <w:r>
        <w:t xml:space="preserve"> opt</w:t>
      </w:r>
      <w:r w:rsidR="009C6CC0">
        <w:t>ed</w:t>
      </w:r>
      <w:r w:rsidR="00312821">
        <w:t xml:space="preserve"> to invest in:</w:t>
      </w:r>
    </w:p>
    <w:p w:rsidR="00BD78E6" w:rsidRDefault="00312821" w:rsidP="00BD78E6">
      <w:pPr>
        <w:pStyle w:val="ListParagraph"/>
        <w:numPr>
          <w:ilvl w:val="0"/>
          <w:numId w:val="5"/>
        </w:numPr>
        <w:spacing w:after="0"/>
        <w:jc w:val="both"/>
      </w:pPr>
      <w:r>
        <w:t>Supporting</w:t>
      </w:r>
      <w:r w:rsidR="008E7CEF">
        <w:t xml:space="preserve"> civic and voter education initiatives focused </w:t>
      </w:r>
      <w:r w:rsidR="009C6CC0">
        <w:t xml:space="preserve">especially </w:t>
      </w:r>
      <w:r>
        <w:t>on youth</w:t>
      </w:r>
      <w:r w:rsidR="008E7CEF">
        <w:t xml:space="preserve"> who </w:t>
      </w:r>
      <w:r>
        <w:t>form a large part of the population</w:t>
      </w:r>
      <w:r w:rsidR="00BD78E6">
        <w:t>; and</w:t>
      </w:r>
    </w:p>
    <w:p w:rsidR="00312821" w:rsidRDefault="00BD78E6" w:rsidP="00BD78E6">
      <w:pPr>
        <w:pStyle w:val="ListParagraph"/>
        <w:numPr>
          <w:ilvl w:val="0"/>
          <w:numId w:val="5"/>
        </w:numPr>
        <w:spacing w:after="0"/>
        <w:jc w:val="both"/>
      </w:pPr>
      <w:r>
        <w:lastRenderedPageBreak/>
        <w:t>S</w:t>
      </w:r>
      <w:r w:rsidR="008E7CEF">
        <w:t>upport</w:t>
      </w:r>
      <w:r w:rsidR="00312821">
        <w:t>ing</w:t>
      </w:r>
      <w:r w:rsidR="008E7CEF">
        <w:t xml:space="preserve"> a collaborative framework which w</w:t>
      </w:r>
      <w:r w:rsidR="002E04D6">
        <w:t>ould</w:t>
      </w:r>
      <w:r w:rsidR="008E7CEF">
        <w:t xml:space="preserve"> ensure </w:t>
      </w:r>
      <w:r w:rsidR="00BC1781">
        <w:t>a joint CSOs initiative that cooperates with key</w:t>
      </w:r>
      <w:r w:rsidR="009C6CC0">
        <w:t xml:space="preserve"> EMBs</w:t>
      </w:r>
      <w:r w:rsidR="00BC1781">
        <w:t xml:space="preserve"> and donor partners to monitor</w:t>
      </w:r>
      <w:r w:rsidR="009C6CC0">
        <w:t xml:space="preserve"> and engage with</w:t>
      </w:r>
      <w:r w:rsidR="00BC1781">
        <w:t xml:space="preserve"> the electoral proce</w:t>
      </w:r>
      <w:r w:rsidR="009C6CC0">
        <w:t>ss</w:t>
      </w:r>
      <w:r w:rsidR="00BC1781">
        <w:t xml:space="preserve">. </w:t>
      </w:r>
    </w:p>
    <w:p w:rsidR="00BD78E6" w:rsidRDefault="00BD78E6" w:rsidP="00BD78E6">
      <w:pPr>
        <w:spacing w:after="0"/>
        <w:jc w:val="both"/>
      </w:pPr>
    </w:p>
    <w:p w:rsidR="00BC1781" w:rsidRPr="00BC1781" w:rsidRDefault="001F4CC3" w:rsidP="0054285E">
      <w:pPr>
        <w:shd w:val="clear" w:color="auto" w:fill="17365D" w:themeFill="text2" w:themeFillShade="BF"/>
        <w:spacing w:after="0"/>
        <w:jc w:val="both"/>
        <w:rPr>
          <w:rFonts w:ascii="Garamond" w:hAnsi="Garamond"/>
          <w:b/>
        </w:rPr>
      </w:pPr>
      <w:r>
        <w:rPr>
          <w:rFonts w:ascii="Garamond" w:hAnsi="Garamond"/>
          <w:b/>
        </w:rPr>
        <w:t>OUR PLACE</w:t>
      </w:r>
    </w:p>
    <w:p w:rsidR="00E14109" w:rsidRDefault="00BD78E6" w:rsidP="0054285E">
      <w:pPr>
        <w:spacing w:after="0"/>
        <w:jc w:val="both"/>
      </w:pPr>
      <w:r>
        <w:t>This having been the country’s fifth general election, a multitude of actors was already at</w:t>
      </w:r>
      <w:r w:rsidR="006C2B63">
        <w:t xml:space="preserve"> play with significant investments in the process by 2014</w:t>
      </w:r>
      <w:r w:rsidR="005870AE">
        <w:t xml:space="preserve">. </w:t>
      </w:r>
      <w:r w:rsidR="00946B83">
        <w:t xml:space="preserve"> OSIEA‘s </w:t>
      </w:r>
      <w:r w:rsidR="00C21A59">
        <w:t xml:space="preserve">contribution was focused on </w:t>
      </w:r>
      <w:r w:rsidR="00F23AE9">
        <w:t xml:space="preserve">merely </w:t>
      </w:r>
      <w:r w:rsidR="00C21A59">
        <w:t>filling the gaps</w:t>
      </w:r>
      <w:r w:rsidR="006C2B63">
        <w:t xml:space="preserve">. </w:t>
      </w:r>
    </w:p>
    <w:p w:rsidR="00BD78E6" w:rsidRDefault="00BD78E6" w:rsidP="0054285E">
      <w:pPr>
        <w:spacing w:after="0"/>
        <w:jc w:val="both"/>
      </w:pPr>
    </w:p>
    <w:p w:rsidR="00E14109" w:rsidRDefault="00FE63EF" w:rsidP="0054285E">
      <w:pPr>
        <w:spacing w:after="0"/>
        <w:jc w:val="both"/>
      </w:pPr>
      <w:r>
        <w:t>The Democratic Empowerment Project under UNDP managed</w:t>
      </w:r>
      <w:r w:rsidR="005870AE">
        <w:t xml:space="preserve"> a</w:t>
      </w:r>
      <w:r>
        <w:t xml:space="preserve"> joint donor basket fund, </w:t>
      </w:r>
      <w:r w:rsidR="00044E26">
        <w:t xml:space="preserve">and </w:t>
      </w:r>
      <w:r>
        <w:t xml:space="preserve">received </w:t>
      </w:r>
      <w:r w:rsidR="00A714E5">
        <w:t xml:space="preserve">about </w:t>
      </w:r>
      <w:r w:rsidR="00044E26">
        <w:t>USD.14</w:t>
      </w:r>
      <w:r w:rsidR="0036792C">
        <w:t xml:space="preserve"> </w:t>
      </w:r>
      <w:r w:rsidR="00044E26">
        <w:t xml:space="preserve">Million </w:t>
      </w:r>
      <w:r w:rsidR="00260B02">
        <w:t>for the process</w:t>
      </w:r>
      <w:r w:rsidR="000C466D">
        <w:t xml:space="preserve"> with a large percent</w:t>
      </w:r>
      <w:r w:rsidR="00044E26">
        <w:t>age</w:t>
      </w:r>
      <w:r w:rsidR="000C466D">
        <w:t xml:space="preserve"> of the money focused on supporting EMBs capacities (NEC, ZEC, IGP, RPP), and a smaller </w:t>
      </w:r>
      <w:r w:rsidR="00044E26">
        <w:t xml:space="preserve">percentage </w:t>
      </w:r>
      <w:r w:rsidR="000C466D">
        <w:t>support</w:t>
      </w:r>
      <w:r w:rsidR="00044E26">
        <w:t>ing</w:t>
      </w:r>
      <w:r w:rsidR="000C466D">
        <w:t xml:space="preserve"> community participation through dialogues and access to information through community radios</w:t>
      </w:r>
      <w:r w:rsidR="00A714E5">
        <w:t>. S</w:t>
      </w:r>
      <w:r w:rsidR="00A13D82">
        <w:t>ome of the Development Partners (DPs)</w:t>
      </w:r>
      <w:r w:rsidR="00044E26">
        <w:t xml:space="preserve"> who supported the basket included</w:t>
      </w:r>
      <w:r w:rsidR="00A13D82">
        <w:t xml:space="preserve"> the European </w:t>
      </w:r>
      <w:r w:rsidR="000C466D">
        <w:t>Union</w:t>
      </w:r>
      <w:r w:rsidR="00A13D82">
        <w:t xml:space="preserve"> (EU), Canada (CIDA), UK (DFID), Switzerland</w:t>
      </w:r>
      <w:r w:rsidR="00BC3925">
        <w:t xml:space="preserve">, and </w:t>
      </w:r>
      <w:r w:rsidR="00815D45">
        <w:t>Norway,</w:t>
      </w:r>
      <w:r w:rsidR="00A13D82">
        <w:t xml:space="preserve"> Sweden</w:t>
      </w:r>
      <w:r w:rsidR="00815D45">
        <w:t>, Finland and Ireland</w:t>
      </w:r>
      <w:r w:rsidR="00A13D82">
        <w:t xml:space="preserve"> through One Fund. </w:t>
      </w:r>
    </w:p>
    <w:p w:rsidR="00BC3925" w:rsidRDefault="00BC3925" w:rsidP="0054285E">
      <w:pPr>
        <w:spacing w:after="0"/>
        <w:jc w:val="both"/>
      </w:pPr>
    </w:p>
    <w:p w:rsidR="00A13D82" w:rsidRDefault="003B1FDD" w:rsidP="0054285E">
      <w:pPr>
        <w:spacing w:after="0"/>
        <w:jc w:val="both"/>
      </w:pPr>
      <w:r>
        <w:t xml:space="preserve">The US through USAID also continued to support local election observation through its grant to TEMCO, and a joint grant with DFID to Oxfam in support of CSOs civic education and local observation under TACCEO. </w:t>
      </w:r>
      <w:r w:rsidR="00E14109">
        <w:t xml:space="preserve">There were other smaller contributors like the National Democratic Institutions who mostly focused on technical expertise, </w:t>
      </w:r>
      <w:r w:rsidR="00260B02">
        <w:t>and other international organisation</w:t>
      </w:r>
      <w:r w:rsidR="00781980">
        <w:t>s</w:t>
      </w:r>
      <w:r w:rsidR="00044E26">
        <w:t xml:space="preserve"> who</w:t>
      </w:r>
      <w:r w:rsidR="00260B02">
        <w:t xml:space="preserve"> focused on peace. </w:t>
      </w:r>
    </w:p>
    <w:p w:rsidR="00BC3925" w:rsidRDefault="00BC3925" w:rsidP="0054285E">
      <w:pPr>
        <w:spacing w:after="0"/>
        <w:jc w:val="both"/>
      </w:pPr>
    </w:p>
    <w:p w:rsidR="00A13D82" w:rsidRDefault="00D6448B" w:rsidP="0054285E">
      <w:pPr>
        <w:spacing w:after="0"/>
        <w:jc w:val="both"/>
      </w:pPr>
      <w:r>
        <w:t>The Foundation for Civil Society (FCS), a local g</w:t>
      </w:r>
      <w:r w:rsidR="00781980">
        <w:t xml:space="preserve">rant making organisation, made </w:t>
      </w:r>
      <w:r>
        <w:t xml:space="preserve">significant contribution to CSOs participation in the process through small grants to </w:t>
      </w:r>
      <w:r w:rsidR="00200517">
        <w:t>o</w:t>
      </w:r>
      <w:r>
        <w:t>r</w:t>
      </w:r>
      <w:r w:rsidR="00200517">
        <w:t xml:space="preserve">ganisations at grassroots level, thus </w:t>
      </w:r>
      <w:r>
        <w:t xml:space="preserve">empowering community voices and participation in the process. </w:t>
      </w:r>
      <w:r w:rsidR="002F7C65">
        <w:t xml:space="preserve">UN Women also supported women candidature and participation in the </w:t>
      </w:r>
      <w:r w:rsidR="00200517">
        <w:t xml:space="preserve">electoral </w:t>
      </w:r>
      <w:r w:rsidR="002F7C65">
        <w:t xml:space="preserve">process. </w:t>
      </w:r>
    </w:p>
    <w:p w:rsidR="00BC3925" w:rsidRDefault="00BC3925" w:rsidP="0054285E">
      <w:pPr>
        <w:spacing w:after="0"/>
        <w:jc w:val="both"/>
      </w:pPr>
    </w:p>
    <w:p w:rsidR="001F4CC3" w:rsidRPr="005422BA" w:rsidRDefault="005422BA" w:rsidP="0054285E">
      <w:pPr>
        <w:shd w:val="clear" w:color="auto" w:fill="17365D" w:themeFill="text2" w:themeFillShade="BF"/>
        <w:spacing w:after="0"/>
        <w:jc w:val="both"/>
        <w:rPr>
          <w:rFonts w:ascii="Garamond" w:hAnsi="Garamond"/>
          <w:b/>
        </w:rPr>
      </w:pPr>
      <w:r w:rsidRPr="005422BA">
        <w:rPr>
          <w:rFonts w:ascii="Garamond" w:hAnsi="Garamond"/>
          <w:b/>
        </w:rPr>
        <w:t>OUR</w:t>
      </w:r>
      <w:r w:rsidR="001F4CC3" w:rsidRPr="005422BA">
        <w:rPr>
          <w:rFonts w:ascii="Garamond" w:hAnsi="Garamond"/>
          <w:b/>
        </w:rPr>
        <w:t xml:space="preserve"> WORK</w:t>
      </w:r>
    </w:p>
    <w:p w:rsidR="001F4CC3" w:rsidRDefault="001F4CC3" w:rsidP="0054285E">
      <w:pPr>
        <w:tabs>
          <w:tab w:val="right" w:leader="dot" w:pos="8630"/>
        </w:tabs>
        <w:spacing w:after="0"/>
        <w:jc w:val="both"/>
        <w:rPr>
          <w:rFonts w:cstheme="minorHAnsi"/>
        </w:rPr>
      </w:pPr>
      <w:r w:rsidRPr="001F4CC3">
        <w:rPr>
          <w:rFonts w:cstheme="minorHAnsi"/>
        </w:rPr>
        <w:t>We</w:t>
      </w:r>
      <w:r w:rsidR="00B77D9A">
        <w:rPr>
          <w:rFonts w:cstheme="minorHAnsi"/>
        </w:rPr>
        <w:t xml:space="preserve"> worked closely with grantees and</w:t>
      </w:r>
      <w:r w:rsidR="002461A3">
        <w:rPr>
          <w:rFonts w:cstheme="minorHAnsi"/>
        </w:rPr>
        <w:t xml:space="preserve"> disbursed</w:t>
      </w:r>
      <w:r w:rsidRPr="001F4CC3">
        <w:rPr>
          <w:rFonts w:cstheme="minorHAnsi"/>
        </w:rPr>
        <w:t xml:space="preserve"> over </w:t>
      </w:r>
      <w:r w:rsidR="00BC3925">
        <w:rPr>
          <w:rFonts w:cstheme="minorHAnsi"/>
        </w:rPr>
        <w:t>USD.1.3</w:t>
      </w:r>
      <w:r w:rsidR="0036792C">
        <w:rPr>
          <w:rFonts w:cstheme="minorHAnsi"/>
        </w:rPr>
        <w:t xml:space="preserve"> </w:t>
      </w:r>
      <w:r w:rsidR="00086DEB">
        <w:rPr>
          <w:rFonts w:cstheme="minorHAnsi"/>
        </w:rPr>
        <w:t xml:space="preserve">Million </w:t>
      </w:r>
      <w:r w:rsidRPr="001F4CC3">
        <w:rPr>
          <w:rFonts w:cstheme="minorHAnsi"/>
        </w:rPr>
        <w:t xml:space="preserve">between 2014 and </w:t>
      </w:r>
      <w:r w:rsidR="0036792C">
        <w:rPr>
          <w:rFonts w:cstheme="minorHAnsi"/>
        </w:rPr>
        <w:t xml:space="preserve">the </w:t>
      </w:r>
      <w:r w:rsidR="00086DEB">
        <w:rPr>
          <w:rFonts w:cstheme="minorHAnsi"/>
        </w:rPr>
        <w:t>end of 2015</w:t>
      </w:r>
      <w:r w:rsidR="0036792C">
        <w:rPr>
          <w:rFonts w:cstheme="minorHAnsi"/>
        </w:rPr>
        <w:t>,</w:t>
      </w:r>
      <w:r w:rsidR="00086DEB">
        <w:rPr>
          <w:rFonts w:cstheme="minorHAnsi"/>
        </w:rPr>
        <w:t xml:space="preserve"> in</w:t>
      </w:r>
      <w:r w:rsidR="0036792C">
        <w:rPr>
          <w:rFonts w:cstheme="minorHAnsi"/>
        </w:rPr>
        <w:t xml:space="preserve"> grants focused on 2015 e</w:t>
      </w:r>
      <w:r w:rsidRPr="001F4CC3">
        <w:rPr>
          <w:rFonts w:cstheme="minorHAnsi"/>
        </w:rPr>
        <w:t>lections</w:t>
      </w:r>
      <w:r w:rsidR="00505622">
        <w:rPr>
          <w:rFonts w:cstheme="minorHAnsi"/>
        </w:rPr>
        <w:t xml:space="preserve">, </w:t>
      </w:r>
      <w:r w:rsidR="0036792C">
        <w:rPr>
          <w:rFonts w:cstheme="minorHAnsi"/>
        </w:rPr>
        <w:t>internal</w:t>
      </w:r>
      <w:r w:rsidR="0036792C">
        <w:rPr>
          <w:rFonts w:cstheme="minorHAnsi"/>
        </w:rPr>
        <w:t xml:space="preserve"> </w:t>
      </w:r>
      <w:r w:rsidR="00505622">
        <w:rPr>
          <w:rFonts w:cstheme="minorHAnsi"/>
        </w:rPr>
        <w:t>trainings by OSIEA/</w:t>
      </w:r>
      <w:proofErr w:type="spellStart"/>
      <w:r w:rsidR="0036792C">
        <w:rPr>
          <w:rFonts w:cstheme="minorHAnsi"/>
        </w:rPr>
        <w:t>Af</w:t>
      </w:r>
      <w:r w:rsidR="00086DEB">
        <w:rPr>
          <w:rFonts w:cstheme="minorHAnsi"/>
        </w:rPr>
        <w:t>RO</w:t>
      </w:r>
      <w:proofErr w:type="spellEnd"/>
      <w:r w:rsidR="00086DEB">
        <w:rPr>
          <w:rFonts w:cstheme="minorHAnsi"/>
        </w:rPr>
        <w:t>, and</w:t>
      </w:r>
      <w:r w:rsidR="00505622">
        <w:rPr>
          <w:rFonts w:cstheme="minorHAnsi"/>
        </w:rPr>
        <w:t xml:space="preserve"> convening</w:t>
      </w:r>
      <w:r w:rsidR="0036792C">
        <w:rPr>
          <w:rFonts w:cstheme="minorHAnsi"/>
        </w:rPr>
        <w:t>s</w:t>
      </w:r>
      <w:r w:rsidR="00505622">
        <w:rPr>
          <w:rFonts w:cstheme="minorHAnsi"/>
        </w:rPr>
        <w:t xml:space="preserve"> by OSIEA Tanzania</w:t>
      </w:r>
      <w:r w:rsidRPr="001F4CC3">
        <w:rPr>
          <w:rFonts w:cstheme="minorHAnsi"/>
        </w:rPr>
        <w:t xml:space="preserve">. Other activities included commissioning a research </w:t>
      </w:r>
      <w:r w:rsidR="0036792C">
        <w:rPr>
          <w:rFonts w:cstheme="minorHAnsi"/>
        </w:rPr>
        <w:t xml:space="preserve">with </w:t>
      </w:r>
      <w:proofErr w:type="spellStart"/>
      <w:r w:rsidR="0036792C">
        <w:rPr>
          <w:rFonts w:cstheme="minorHAnsi"/>
        </w:rPr>
        <w:t>Af</w:t>
      </w:r>
      <w:r w:rsidR="002461A3">
        <w:rPr>
          <w:rFonts w:cstheme="minorHAnsi"/>
        </w:rPr>
        <w:t>RO</w:t>
      </w:r>
      <w:proofErr w:type="spellEnd"/>
      <w:r w:rsidR="002461A3">
        <w:rPr>
          <w:rFonts w:cstheme="minorHAnsi"/>
        </w:rPr>
        <w:t xml:space="preserve"> </w:t>
      </w:r>
      <w:r w:rsidRPr="001F4CC3">
        <w:rPr>
          <w:rFonts w:cstheme="minorHAnsi"/>
        </w:rPr>
        <w:t>on key issues towards the 2015 elections that was meant to inform the engagement of different stakeholders in the area</w:t>
      </w:r>
      <w:r w:rsidR="00781980">
        <w:rPr>
          <w:rFonts w:cstheme="minorHAnsi"/>
        </w:rPr>
        <w:t xml:space="preserve">. We </w:t>
      </w:r>
      <w:r w:rsidRPr="001F4CC3">
        <w:rPr>
          <w:rFonts w:cstheme="minorHAnsi"/>
        </w:rPr>
        <w:t>a</w:t>
      </w:r>
      <w:r w:rsidR="002461A3">
        <w:rPr>
          <w:rFonts w:cstheme="minorHAnsi"/>
        </w:rPr>
        <w:t xml:space="preserve">lso </w:t>
      </w:r>
      <w:r w:rsidR="00781980">
        <w:rPr>
          <w:rFonts w:cstheme="minorHAnsi"/>
        </w:rPr>
        <w:t xml:space="preserve">had </w:t>
      </w:r>
      <w:r w:rsidR="002461A3">
        <w:rPr>
          <w:rFonts w:cstheme="minorHAnsi"/>
        </w:rPr>
        <w:t>two</w:t>
      </w:r>
      <w:r w:rsidRPr="001F4CC3">
        <w:rPr>
          <w:rFonts w:cstheme="minorHAnsi"/>
        </w:rPr>
        <w:t xml:space="preserve"> advocacy visit</w:t>
      </w:r>
      <w:r w:rsidR="002461A3">
        <w:rPr>
          <w:rFonts w:cstheme="minorHAnsi"/>
        </w:rPr>
        <w:t>s to Tanzania and USA</w:t>
      </w:r>
      <w:r w:rsidRPr="001F4CC3">
        <w:rPr>
          <w:rFonts w:cstheme="minorHAnsi"/>
        </w:rPr>
        <w:t xml:space="preserve"> arranged in partnership with OSF</w:t>
      </w:r>
      <w:r w:rsidR="0036792C">
        <w:rPr>
          <w:rFonts w:cstheme="minorHAnsi"/>
        </w:rPr>
        <w:t xml:space="preserve">’s </w:t>
      </w:r>
      <w:r w:rsidRPr="001F4CC3">
        <w:rPr>
          <w:rFonts w:cstheme="minorHAnsi"/>
        </w:rPr>
        <w:t>policy centre in Washington D.C</w:t>
      </w:r>
      <w:r w:rsidR="002461A3">
        <w:rPr>
          <w:rFonts w:cstheme="minorHAnsi"/>
        </w:rPr>
        <w:t>, OSF European Institute,</w:t>
      </w:r>
      <w:r w:rsidR="00C10FFE">
        <w:rPr>
          <w:rFonts w:cstheme="minorHAnsi"/>
        </w:rPr>
        <w:t xml:space="preserve"> OSIWA Nigeria,</w:t>
      </w:r>
      <w:r w:rsidR="00642B6A">
        <w:rPr>
          <w:rFonts w:cstheme="minorHAnsi"/>
        </w:rPr>
        <w:t xml:space="preserve"> and funded by the </w:t>
      </w:r>
      <w:proofErr w:type="spellStart"/>
      <w:r w:rsidR="00642B6A">
        <w:rPr>
          <w:rFonts w:cstheme="minorHAnsi"/>
        </w:rPr>
        <w:t>A</w:t>
      </w:r>
      <w:r w:rsidR="0036792C">
        <w:rPr>
          <w:rFonts w:cstheme="minorHAnsi"/>
        </w:rPr>
        <w:t>fRO</w:t>
      </w:r>
      <w:proofErr w:type="spellEnd"/>
      <w:r w:rsidRPr="001F4CC3">
        <w:rPr>
          <w:rFonts w:cstheme="minorHAnsi"/>
        </w:rPr>
        <w:t>.</w:t>
      </w:r>
    </w:p>
    <w:p w:rsidR="0036792C" w:rsidRDefault="0036792C" w:rsidP="0054285E">
      <w:pPr>
        <w:tabs>
          <w:tab w:val="right" w:leader="dot" w:pos="8630"/>
        </w:tabs>
        <w:spacing w:after="0"/>
        <w:jc w:val="both"/>
        <w:rPr>
          <w:rFonts w:cstheme="minorHAnsi"/>
        </w:rPr>
      </w:pPr>
    </w:p>
    <w:p w:rsidR="00907199" w:rsidRDefault="00907199" w:rsidP="0054285E">
      <w:pPr>
        <w:tabs>
          <w:tab w:val="right" w:leader="dot" w:pos="8630"/>
        </w:tabs>
        <w:spacing w:after="0"/>
        <w:jc w:val="both"/>
        <w:rPr>
          <w:rFonts w:cstheme="minorHAnsi"/>
        </w:rPr>
      </w:pPr>
      <w:r>
        <w:rPr>
          <w:rFonts w:cstheme="minorHAnsi"/>
        </w:rPr>
        <w:t xml:space="preserve">OSIEA’s massive investment in the constitution </w:t>
      </w:r>
      <w:r w:rsidR="006B3E9F">
        <w:rPr>
          <w:rFonts w:cstheme="minorHAnsi"/>
        </w:rPr>
        <w:t xml:space="preserve">review </w:t>
      </w:r>
      <w:r>
        <w:rPr>
          <w:rFonts w:cstheme="minorHAnsi"/>
        </w:rPr>
        <w:t xml:space="preserve">process </w:t>
      </w:r>
      <w:r w:rsidR="00086DEB">
        <w:rPr>
          <w:rFonts w:cstheme="minorHAnsi"/>
        </w:rPr>
        <w:t>in Tanzania right from inception</w:t>
      </w:r>
      <w:r>
        <w:rPr>
          <w:rFonts w:cstheme="minorHAnsi"/>
        </w:rPr>
        <w:t xml:space="preserve"> made a significant contribution in empowering the masses to take interest and participate in</w:t>
      </w:r>
      <w:r w:rsidR="00781980">
        <w:rPr>
          <w:rFonts w:cstheme="minorHAnsi"/>
        </w:rPr>
        <w:t xml:space="preserve"> the</w:t>
      </w:r>
      <w:r>
        <w:rPr>
          <w:rFonts w:cstheme="minorHAnsi"/>
        </w:rPr>
        <w:t xml:space="preserve"> country’s democratic process</w:t>
      </w:r>
      <w:r w:rsidR="00086DEB">
        <w:rPr>
          <w:rFonts w:cstheme="minorHAnsi"/>
        </w:rPr>
        <w:t>es</w:t>
      </w:r>
      <w:r>
        <w:rPr>
          <w:rFonts w:cstheme="minorHAnsi"/>
        </w:rPr>
        <w:t xml:space="preserve">. This </w:t>
      </w:r>
      <w:r w:rsidR="00FD685F">
        <w:rPr>
          <w:rFonts w:cstheme="minorHAnsi"/>
        </w:rPr>
        <w:t>engagement with the constitution contributed indirectly to</w:t>
      </w:r>
      <w:r>
        <w:rPr>
          <w:rFonts w:cstheme="minorHAnsi"/>
        </w:rPr>
        <w:t xml:space="preserve"> the</w:t>
      </w:r>
      <w:r w:rsidR="00FD685F">
        <w:rPr>
          <w:rFonts w:cstheme="minorHAnsi"/>
        </w:rPr>
        <w:t xml:space="preserve"> engagement with the electoral process</w:t>
      </w:r>
      <w:r>
        <w:rPr>
          <w:rFonts w:cstheme="minorHAnsi"/>
        </w:rPr>
        <w:t>.</w:t>
      </w:r>
      <w:r w:rsidR="006B3E9F">
        <w:rPr>
          <w:rFonts w:cstheme="minorHAnsi"/>
        </w:rPr>
        <w:t xml:space="preserve"> </w:t>
      </w:r>
      <w:r w:rsidR="00FD685F">
        <w:rPr>
          <w:rFonts w:cstheme="minorHAnsi"/>
        </w:rPr>
        <w:t>A practical example is when we were</w:t>
      </w:r>
      <w:r w:rsidR="006B3E9F">
        <w:rPr>
          <w:rFonts w:cstheme="minorHAnsi"/>
        </w:rPr>
        <w:t xml:space="preserve"> making a documentary on OSIE</w:t>
      </w:r>
      <w:r w:rsidR="0036792C">
        <w:rPr>
          <w:rFonts w:cstheme="minorHAnsi"/>
        </w:rPr>
        <w:t xml:space="preserve">A’s constitution work in </w:t>
      </w:r>
      <w:proofErr w:type="gramStart"/>
      <w:r w:rsidR="0036792C">
        <w:rPr>
          <w:rFonts w:cstheme="minorHAnsi"/>
        </w:rPr>
        <w:t>Maasai</w:t>
      </w:r>
      <w:r w:rsidR="006B3E9F">
        <w:rPr>
          <w:rFonts w:cstheme="minorHAnsi"/>
        </w:rPr>
        <w:t>land,</w:t>
      </w:r>
      <w:proofErr w:type="gramEnd"/>
      <w:r w:rsidR="006B3E9F">
        <w:rPr>
          <w:rFonts w:cstheme="minorHAnsi"/>
        </w:rPr>
        <w:t xml:space="preserve"> </w:t>
      </w:r>
      <w:r w:rsidR="00FD685F">
        <w:rPr>
          <w:rFonts w:cstheme="minorHAnsi"/>
        </w:rPr>
        <w:t>the citizens there</w:t>
      </w:r>
      <w:r w:rsidR="006B3E9F">
        <w:rPr>
          <w:rFonts w:cstheme="minorHAnsi"/>
        </w:rPr>
        <w:t xml:space="preserve"> </w:t>
      </w:r>
      <w:r w:rsidR="00FD685F">
        <w:rPr>
          <w:rFonts w:cstheme="minorHAnsi"/>
        </w:rPr>
        <w:t>were</w:t>
      </w:r>
      <w:r w:rsidR="006B3E9F">
        <w:rPr>
          <w:rFonts w:cstheme="minorHAnsi"/>
        </w:rPr>
        <w:t xml:space="preserve"> heard attributing their eagerness to register </w:t>
      </w:r>
      <w:r w:rsidR="00FD685F">
        <w:rPr>
          <w:rFonts w:cstheme="minorHAnsi"/>
        </w:rPr>
        <w:t>as voters</w:t>
      </w:r>
      <w:r w:rsidR="006B3E9F">
        <w:rPr>
          <w:rFonts w:cstheme="minorHAnsi"/>
        </w:rPr>
        <w:t xml:space="preserve"> with the </w:t>
      </w:r>
      <w:r w:rsidR="00FD685F">
        <w:rPr>
          <w:rFonts w:cstheme="minorHAnsi"/>
        </w:rPr>
        <w:t xml:space="preserve">sensitization received from OSIEA’s grantee </w:t>
      </w:r>
      <w:r w:rsidR="006B3E9F">
        <w:rPr>
          <w:rFonts w:cstheme="minorHAnsi"/>
        </w:rPr>
        <w:t>Past</w:t>
      </w:r>
      <w:r w:rsidR="00FD685F">
        <w:rPr>
          <w:rFonts w:cstheme="minorHAnsi"/>
        </w:rPr>
        <w:t>oralists Indigenous NGOs’ Forum (PINGOs)</w:t>
      </w:r>
      <w:r w:rsidR="006B3E9F">
        <w:rPr>
          <w:rFonts w:cstheme="minorHAnsi"/>
        </w:rPr>
        <w:t xml:space="preserve"> during the const</w:t>
      </w:r>
      <w:r w:rsidR="00FD685F">
        <w:rPr>
          <w:rFonts w:cstheme="minorHAnsi"/>
        </w:rPr>
        <w:t>itution process.</w:t>
      </w:r>
    </w:p>
    <w:p w:rsidR="0036792C" w:rsidRDefault="0036792C" w:rsidP="0054285E">
      <w:pPr>
        <w:tabs>
          <w:tab w:val="right" w:leader="dot" w:pos="8630"/>
        </w:tabs>
        <w:spacing w:after="0"/>
        <w:jc w:val="both"/>
        <w:rPr>
          <w:rFonts w:cstheme="minorHAnsi"/>
        </w:rPr>
      </w:pPr>
    </w:p>
    <w:p w:rsidR="00EB30C3" w:rsidRDefault="00EB30C3" w:rsidP="0054285E">
      <w:pPr>
        <w:tabs>
          <w:tab w:val="right" w:leader="dot" w:pos="8630"/>
        </w:tabs>
        <w:spacing w:after="0"/>
        <w:jc w:val="both"/>
        <w:rPr>
          <w:rFonts w:cstheme="minorHAnsi"/>
        </w:rPr>
      </w:pPr>
      <w:r>
        <w:rPr>
          <w:rFonts w:cstheme="minorHAnsi"/>
        </w:rPr>
        <w:lastRenderedPageBreak/>
        <w:t>The Elec</w:t>
      </w:r>
      <w:r w:rsidR="009A6850">
        <w:rPr>
          <w:rFonts w:cstheme="minorHAnsi"/>
        </w:rPr>
        <w:t>tion Convening hosted by OSIEA i</w:t>
      </w:r>
      <w:r>
        <w:rPr>
          <w:rFonts w:cstheme="minorHAnsi"/>
        </w:rPr>
        <w:t>n September 2014 set</w:t>
      </w:r>
      <w:r w:rsidR="00FD685F">
        <w:rPr>
          <w:rFonts w:cstheme="minorHAnsi"/>
        </w:rPr>
        <w:t xml:space="preserve"> the pace of</w:t>
      </w:r>
      <w:r>
        <w:rPr>
          <w:rFonts w:cstheme="minorHAnsi"/>
        </w:rPr>
        <w:t xml:space="preserve"> our involvement in the process. Aimed at offering a reflection platform for key stakeholders, the high level convening was well attended by the </w:t>
      </w:r>
      <w:r w:rsidR="0036792C">
        <w:rPr>
          <w:rFonts w:cstheme="minorHAnsi"/>
        </w:rPr>
        <w:t>EMBs including the NEC C</w:t>
      </w:r>
      <w:r w:rsidR="00E27D40">
        <w:rPr>
          <w:rFonts w:cstheme="minorHAnsi"/>
        </w:rPr>
        <w:t xml:space="preserve">hairman officiating, DPs, </w:t>
      </w:r>
      <w:r w:rsidR="001F470A">
        <w:rPr>
          <w:rFonts w:cstheme="minorHAnsi"/>
        </w:rPr>
        <w:t xml:space="preserve">a representative of the Malawi Electoral Commission, Tanzanian </w:t>
      </w:r>
      <w:r w:rsidR="00E27D40">
        <w:rPr>
          <w:rFonts w:cstheme="minorHAnsi"/>
        </w:rPr>
        <w:t>CSOs</w:t>
      </w:r>
      <w:r w:rsidR="001F470A">
        <w:rPr>
          <w:rFonts w:cstheme="minorHAnsi"/>
        </w:rPr>
        <w:t xml:space="preserve"> and an expert from Kenya. </w:t>
      </w:r>
      <w:r w:rsidR="00274229">
        <w:rPr>
          <w:rFonts w:cstheme="minorHAnsi"/>
        </w:rPr>
        <w:t xml:space="preserve">It was at this convening that the idea of hosting a collaborating framework (Election Situation Room) was introduced with experiences of similar initiatives in West and Southern Africa shared. </w:t>
      </w:r>
    </w:p>
    <w:p w:rsidR="0036792C" w:rsidRDefault="0036792C" w:rsidP="0054285E">
      <w:pPr>
        <w:tabs>
          <w:tab w:val="right" w:leader="dot" w:pos="8630"/>
        </w:tabs>
        <w:spacing w:after="0"/>
        <w:jc w:val="both"/>
        <w:rPr>
          <w:rFonts w:cstheme="minorHAnsi"/>
        </w:rPr>
      </w:pPr>
    </w:p>
    <w:p w:rsidR="00701123" w:rsidRDefault="00701123" w:rsidP="0054285E">
      <w:pPr>
        <w:tabs>
          <w:tab w:val="right" w:leader="dot" w:pos="8630"/>
        </w:tabs>
        <w:spacing w:after="0"/>
        <w:jc w:val="both"/>
      </w:pPr>
      <w:r>
        <w:rPr>
          <w:rFonts w:cstheme="minorHAnsi"/>
        </w:rPr>
        <w:t xml:space="preserve">The ability of OSIEA to bring together </w:t>
      </w:r>
      <w:r w:rsidR="00EF11CC">
        <w:rPr>
          <w:rFonts w:cstheme="minorHAnsi"/>
        </w:rPr>
        <w:t>the Tanzania Election Monitoring Committee (</w:t>
      </w:r>
      <w:r>
        <w:rPr>
          <w:rFonts w:cstheme="minorHAnsi"/>
        </w:rPr>
        <w:t>TEMCO</w:t>
      </w:r>
      <w:r w:rsidR="00EF11CC">
        <w:rPr>
          <w:rFonts w:cstheme="minorHAnsi"/>
        </w:rPr>
        <w:t>)</w:t>
      </w:r>
      <w:r>
        <w:rPr>
          <w:rFonts w:cstheme="minorHAnsi"/>
        </w:rPr>
        <w:t xml:space="preserve"> and </w:t>
      </w:r>
      <w:r w:rsidR="002461A3">
        <w:t>Tanzania CSOs Consortium for Election Observation</w:t>
      </w:r>
      <w:r w:rsidR="00EF11CC">
        <w:rPr>
          <w:rFonts w:cstheme="minorHAnsi"/>
        </w:rPr>
        <w:t xml:space="preserve"> (TACCEO) under the Coalition on Election Monitoring and Observation in Tanzania (</w:t>
      </w:r>
      <w:r>
        <w:rPr>
          <w:rFonts w:cstheme="minorHAnsi"/>
        </w:rPr>
        <w:t>CEMOT</w:t>
      </w:r>
      <w:r w:rsidR="00EF11CC">
        <w:rPr>
          <w:rFonts w:cstheme="minorHAnsi"/>
        </w:rPr>
        <w:t>)</w:t>
      </w:r>
      <w:r>
        <w:rPr>
          <w:rFonts w:cstheme="minorHAnsi"/>
        </w:rPr>
        <w:t xml:space="preserve"> is considered a great success amongst actors in Tanzania especially</w:t>
      </w:r>
      <w:r w:rsidR="005931EA">
        <w:rPr>
          <w:rFonts w:cstheme="minorHAnsi"/>
        </w:rPr>
        <w:t xml:space="preserve"> within</w:t>
      </w:r>
      <w:r>
        <w:rPr>
          <w:rFonts w:cstheme="minorHAnsi"/>
        </w:rPr>
        <w:t xml:space="preserve"> the CSOs f</w:t>
      </w:r>
      <w:r w:rsidR="002461A3">
        <w:rPr>
          <w:rFonts w:cstheme="minorHAnsi"/>
        </w:rPr>
        <w:t xml:space="preserve">raternity. </w:t>
      </w:r>
      <w:r w:rsidR="002461A3">
        <w:t>Working in coalitions proved to be more effective, especially in increasing capacities</w:t>
      </w:r>
      <w:r w:rsidR="00DA7F0B">
        <w:t>, avoiding duplications</w:t>
      </w:r>
      <w:r w:rsidR="002461A3">
        <w:t xml:space="preserve"> and accessing funds. TACCEO and TEMCO were among the leading coalitions that played a</w:t>
      </w:r>
      <w:r w:rsidR="0036792C">
        <w:t xml:space="preserve"> significant role in providing a public oversight role i</w:t>
      </w:r>
      <w:r w:rsidR="002461A3">
        <w:t>n the process.</w:t>
      </w:r>
    </w:p>
    <w:p w:rsidR="0036792C" w:rsidRDefault="0036792C" w:rsidP="0054285E">
      <w:pPr>
        <w:tabs>
          <w:tab w:val="right" w:leader="dot" w:pos="8630"/>
        </w:tabs>
        <w:spacing w:after="0"/>
        <w:jc w:val="both"/>
        <w:rPr>
          <w:rFonts w:cstheme="minorHAnsi"/>
        </w:rPr>
      </w:pPr>
    </w:p>
    <w:p w:rsidR="00DF6816" w:rsidRDefault="00E27D40" w:rsidP="0054285E">
      <w:pPr>
        <w:tabs>
          <w:tab w:val="right" w:leader="dot" w:pos="8630"/>
        </w:tabs>
        <w:spacing w:after="0"/>
        <w:jc w:val="both"/>
        <w:rPr>
          <w:rFonts w:cstheme="minorHAnsi"/>
        </w:rPr>
      </w:pPr>
      <w:r>
        <w:rPr>
          <w:rFonts w:cstheme="minorHAnsi"/>
        </w:rPr>
        <w:t xml:space="preserve">The constant unnecessary warnings, which some saw </w:t>
      </w:r>
      <w:r w:rsidR="00FA7CFF">
        <w:rPr>
          <w:rFonts w:cstheme="minorHAnsi"/>
        </w:rPr>
        <w:t xml:space="preserve">as mere </w:t>
      </w:r>
      <w:r>
        <w:rPr>
          <w:rFonts w:cstheme="minorHAnsi"/>
        </w:rPr>
        <w:t>threats, by NEC to</w:t>
      </w:r>
      <w:r w:rsidR="00FA7CFF">
        <w:rPr>
          <w:rFonts w:cstheme="minorHAnsi"/>
        </w:rPr>
        <w:t xml:space="preserve"> </w:t>
      </w:r>
      <w:r w:rsidR="00844A14">
        <w:rPr>
          <w:rFonts w:cstheme="minorHAnsi"/>
        </w:rPr>
        <w:t xml:space="preserve">the </w:t>
      </w:r>
      <w:r w:rsidR="00FA7CFF">
        <w:rPr>
          <w:rFonts w:cstheme="minorHAnsi"/>
        </w:rPr>
        <w:t xml:space="preserve">CEMOT EOC </w:t>
      </w:r>
      <w:r w:rsidR="0036792C">
        <w:rPr>
          <w:rFonts w:cstheme="minorHAnsi"/>
        </w:rPr>
        <w:t>contributed to</w:t>
      </w:r>
      <w:r>
        <w:rPr>
          <w:rFonts w:cstheme="minorHAnsi"/>
        </w:rPr>
        <w:t xml:space="preserve"> a large extent to the centre’s inability to realise its full potential</w:t>
      </w:r>
      <w:r w:rsidR="000C63EE">
        <w:rPr>
          <w:rFonts w:cstheme="minorHAnsi"/>
        </w:rPr>
        <w:t>, especially on the rapid response system aspect</w:t>
      </w:r>
      <w:r>
        <w:rPr>
          <w:rFonts w:cstheme="minorHAnsi"/>
        </w:rPr>
        <w:t xml:space="preserve">. The Cybercrime </w:t>
      </w:r>
      <w:r w:rsidR="0036792C">
        <w:rPr>
          <w:rFonts w:cstheme="minorHAnsi"/>
        </w:rPr>
        <w:t>A</w:t>
      </w:r>
      <w:r>
        <w:rPr>
          <w:rFonts w:cstheme="minorHAnsi"/>
        </w:rPr>
        <w:t xml:space="preserve">ct was </w:t>
      </w:r>
      <w:r w:rsidR="00FA7CFF">
        <w:rPr>
          <w:rFonts w:cstheme="minorHAnsi"/>
        </w:rPr>
        <w:t xml:space="preserve">also </w:t>
      </w:r>
      <w:r>
        <w:rPr>
          <w:rFonts w:cstheme="minorHAnsi"/>
        </w:rPr>
        <w:t>used</w:t>
      </w:r>
      <w:r w:rsidR="0036792C">
        <w:rPr>
          <w:rFonts w:cstheme="minorHAnsi"/>
        </w:rPr>
        <w:t xml:space="preserve"> by the g</w:t>
      </w:r>
      <w:r w:rsidR="00FC54B5">
        <w:rPr>
          <w:rFonts w:cstheme="minorHAnsi"/>
        </w:rPr>
        <w:t>overnment to</w:t>
      </w:r>
      <w:r>
        <w:rPr>
          <w:rFonts w:cstheme="minorHAnsi"/>
        </w:rPr>
        <w:t xml:space="preserve"> limit the use of social media by </w:t>
      </w:r>
      <w:r w:rsidR="00FA7CFF">
        <w:rPr>
          <w:rFonts w:cstheme="minorHAnsi"/>
        </w:rPr>
        <w:t>the centre hence limiting citizen</w:t>
      </w:r>
      <w:r>
        <w:rPr>
          <w:rFonts w:cstheme="minorHAnsi"/>
        </w:rPr>
        <w:t xml:space="preserve"> journalism</w:t>
      </w:r>
      <w:r w:rsidR="00FA7CFF">
        <w:rPr>
          <w:rFonts w:cstheme="minorHAnsi"/>
        </w:rPr>
        <w:t>. E</w:t>
      </w:r>
      <w:r>
        <w:rPr>
          <w:rFonts w:cstheme="minorHAnsi"/>
        </w:rPr>
        <w:t xml:space="preserve">lectoral laws were </w:t>
      </w:r>
      <w:r w:rsidR="00FC54B5">
        <w:rPr>
          <w:rFonts w:cstheme="minorHAnsi"/>
        </w:rPr>
        <w:t xml:space="preserve">also </w:t>
      </w:r>
      <w:r>
        <w:rPr>
          <w:rFonts w:cstheme="minorHAnsi"/>
        </w:rPr>
        <w:t xml:space="preserve">used to limit collection and sharing of results. The raiding of the TACCEO Centre and the CHADEMA ICT Centre and arrest </w:t>
      </w:r>
      <w:r w:rsidR="00FA7CFF">
        <w:rPr>
          <w:rFonts w:cstheme="minorHAnsi"/>
        </w:rPr>
        <w:t xml:space="preserve">of personnel </w:t>
      </w:r>
      <w:r>
        <w:rPr>
          <w:rFonts w:cstheme="minorHAnsi"/>
        </w:rPr>
        <w:t xml:space="preserve">by the police created a lot of unrest among actors in the CEMOT Centre. </w:t>
      </w:r>
    </w:p>
    <w:p w:rsidR="0036792C" w:rsidRDefault="0036792C" w:rsidP="0054285E">
      <w:pPr>
        <w:tabs>
          <w:tab w:val="right" w:leader="dot" w:pos="8630"/>
        </w:tabs>
        <w:spacing w:after="0"/>
        <w:jc w:val="both"/>
        <w:rPr>
          <w:rFonts w:cstheme="minorHAnsi"/>
        </w:rPr>
      </w:pPr>
    </w:p>
    <w:p w:rsidR="00262205" w:rsidRDefault="0036792C" w:rsidP="0054285E">
      <w:pPr>
        <w:tabs>
          <w:tab w:val="right" w:leader="dot" w:pos="8630"/>
        </w:tabs>
        <w:spacing w:after="0"/>
        <w:jc w:val="both"/>
        <w:rPr>
          <w:rFonts w:cstheme="minorHAnsi"/>
        </w:rPr>
      </w:pPr>
      <w:r>
        <w:rPr>
          <w:rFonts w:cstheme="minorHAnsi"/>
        </w:rPr>
        <w:t>Recogniz</w:t>
      </w:r>
      <w:r w:rsidR="00143012">
        <w:rPr>
          <w:rFonts w:cstheme="minorHAnsi"/>
        </w:rPr>
        <w:t>ing the funding gaps especially to youth led initiatives, OSIEA foc</w:t>
      </w:r>
      <w:r>
        <w:rPr>
          <w:rFonts w:cstheme="minorHAnsi"/>
        </w:rPr>
        <w:t>used about half of its budget on</w:t>
      </w:r>
      <w:r w:rsidR="00143012">
        <w:rPr>
          <w:rFonts w:cstheme="minorHAnsi"/>
        </w:rPr>
        <w:t xml:space="preserve"> empower</w:t>
      </w:r>
      <w:r>
        <w:rPr>
          <w:rFonts w:cstheme="minorHAnsi"/>
        </w:rPr>
        <w:t>ing youth organiz</w:t>
      </w:r>
      <w:r w:rsidR="00143012">
        <w:rPr>
          <w:rFonts w:cstheme="minorHAnsi"/>
        </w:rPr>
        <w:t>ation’s involvement in the process and ensur</w:t>
      </w:r>
      <w:r>
        <w:rPr>
          <w:rFonts w:cstheme="minorHAnsi"/>
        </w:rPr>
        <w:t>ing</w:t>
      </w:r>
      <w:r w:rsidR="00143012">
        <w:rPr>
          <w:rFonts w:cstheme="minorHAnsi"/>
        </w:rPr>
        <w:t xml:space="preserve"> maximum youth participation. </w:t>
      </w:r>
      <w:r w:rsidR="00262205">
        <w:rPr>
          <w:rFonts w:cstheme="minorHAnsi"/>
        </w:rPr>
        <w:t xml:space="preserve">OSIEA takes pride in its grantee </w:t>
      </w:r>
      <w:proofErr w:type="spellStart"/>
      <w:r w:rsidR="00262205">
        <w:rPr>
          <w:rFonts w:cstheme="minorHAnsi"/>
        </w:rPr>
        <w:t>iDEV</w:t>
      </w:r>
      <w:proofErr w:type="spellEnd"/>
      <w:r w:rsidR="00262205">
        <w:rPr>
          <w:rFonts w:cstheme="minorHAnsi"/>
        </w:rPr>
        <w:t xml:space="preserve"> (Innovative Development), a small start-up</w:t>
      </w:r>
      <w:r w:rsidR="000439E8">
        <w:rPr>
          <w:rFonts w:cstheme="minorHAnsi"/>
        </w:rPr>
        <w:t xml:space="preserve"> that</w:t>
      </w:r>
      <w:r w:rsidR="00262205">
        <w:rPr>
          <w:rFonts w:cstheme="minorHAnsi"/>
        </w:rPr>
        <w:t xml:space="preserve"> turned into a fully-fledged organis</w:t>
      </w:r>
      <w:r w:rsidR="00FA7CFF">
        <w:rPr>
          <w:rFonts w:cstheme="minorHAnsi"/>
        </w:rPr>
        <w:t>ation through OSIEA’s support</w:t>
      </w:r>
      <w:r w:rsidR="007F2641">
        <w:rPr>
          <w:rFonts w:cstheme="minorHAnsi"/>
        </w:rPr>
        <w:t>,</w:t>
      </w:r>
      <w:r w:rsidR="00FA7CFF">
        <w:rPr>
          <w:rFonts w:cstheme="minorHAnsi"/>
        </w:rPr>
        <w:t xml:space="preserve"> </w:t>
      </w:r>
      <w:r w:rsidR="00922D57">
        <w:rPr>
          <w:rFonts w:cstheme="minorHAnsi"/>
        </w:rPr>
        <w:t xml:space="preserve">for </w:t>
      </w:r>
      <w:r w:rsidR="00FA7CFF">
        <w:rPr>
          <w:rFonts w:cstheme="minorHAnsi"/>
        </w:rPr>
        <w:t xml:space="preserve">creating </w:t>
      </w:r>
      <w:r w:rsidR="00262205">
        <w:rPr>
          <w:rFonts w:cstheme="minorHAnsi"/>
        </w:rPr>
        <w:t xml:space="preserve">vibrant social media engagement by Tanzanian youth on the country’s political dialogue. </w:t>
      </w:r>
      <w:r w:rsidR="001269C7">
        <w:rPr>
          <w:rFonts w:cstheme="minorHAnsi"/>
        </w:rPr>
        <w:t xml:space="preserve">The program plans to continue supporting this grantee to enable young people to hold leaders accountable to their electoral promises in 2016/17. </w:t>
      </w:r>
    </w:p>
    <w:p w:rsidR="000439E8" w:rsidRDefault="000439E8" w:rsidP="0054285E">
      <w:pPr>
        <w:tabs>
          <w:tab w:val="right" w:leader="dot" w:pos="8630"/>
        </w:tabs>
        <w:spacing w:after="0"/>
        <w:jc w:val="both"/>
        <w:rPr>
          <w:rFonts w:cstheme="minorHAnsi"/>
        </w:rPr>
      </w:pPr>
    </w:p>
    <w:p w:rsidR="000A375B" w:rsidRDefault="00DD0E57" w:rsidP="0054285E">
      <w:pPr>
        <w:tabs>
          <w:tab w:val="right" w:leader="dot" w:pos="8630"/>
        </w:tabs>
        <w:spacing w:after="0"/>
        <w:jc w:val="both"/>
        <w:rPr>
          <w:rFonts w:cstheme="minorHAnsi"/>
        </w:rPr>
      </w:pPr>
      <w:r>
        <w:rPr>
          <w:rFonts w:cstheme="minorHAnsi"/>
        </w:rPr>
        <w:t>OSIE</w:t>
      </w:r>
      <w:r w:rsidR="000439E8">
        <w:rPr>
          <w:rFonts w:cstheme="minorHAnsi"/>
        </w:rPr>
        <w:t xml:space="preserve">A’s advocacy mission to the US in </w:t>
      </w:r>
      <w:r>
        <w:rPr>
          <w:rFonts w:cstheme="minorHAnsi"/>
        </w:rPr>
        <w:t>collaborat</w:t>
      </w:r>
      <w:r w:rsidR="000439E8">
        <w:rPr>
          <w:rFonts w:cstheme="minorHAnsi"/>
        </w:rPr>
        <w:t>ion</w:t>
      </w:r>
      <w:r>
        <w:rPr>
          <w:rFonts w:cstheme="minorHAnsi"/>
        </w:rPr>
        <w:t xml:space="preserve"> with other OSF </w:t>
      </w:r>
      <w:r w:rsidR="000439E8">
        <w:rPr>
          <w:rFonts w:cstheme="minorHAnsi"/>
        </w:rPr>
        <w:t>e</w:t>
      </w:r>
      <w:r>
        <w:rPr>
          <w:rFonts w:cstheme="minorHAnsi"/>
        </w:rPr>
        <w:t>ntities, m</w:t>
      </w:r>
      <w:r w:rsidR="000439E8">
        <w:rPr>
          <w:rFonts w:cstheme="minorHAnsi"/>
        </w:rPr>
        <w:t>ade a significant contribution towards raising interest i</w:t>
      </w:r>
      <w:r>
        <w:rPr>
          <w:rFonts w:cstheme="minorHAnsi"/>
        </w:rPr>
        <w:t xml:space="preserve">n the </w:t>
      </w:r>
      <w:r w:rsidR="00922D57">
        <w:rPr>
          <w:rFonts w:cstheme="minorHAnsi"/>
        </w:rPr>
        <w:t xml:space="preserve">Tanzania </w:t>
      </w:r>
      <w:r>
        <w:rPr>
          <w:rFonts w:cstheme="minorHAnsi"/>
        </w:rPr>
        <w:t xml:space="preserve">elections, putting pressure on the </w:t>
      </w:r>
      <w:r w:rsidR="000439E8">
        <w:rPr>
          <w:rFonts w:cstheme="minorHAnsi"/>
        </w:rPr>
        <w:t xml:space="preserve">Tanzania </w:t>
      </w:r>
      <w:r>
        <w:rPr>
          <w:rFonts w:cstheme="minorHAnsi"/>
        </w:rPr>
        <w:t>government to adhere to the democratic principles that ensure integrity and credibility of the process, and emph</w:t>
      </w:r>
      <w:r w:rsidR="000439E8">
        <w:rPr>
          <w:rFonts w:cstheme="minorHAnsi"/>
        </w:rPr>
        <w:t>asizing the need for investing i</w:t>
      </w:r>
      <w:r>
        <w:rPr>
          <w:rFonts w:cstheme="minorHAnsi"/>
        </w:rPr>
        <w:t xml:space="preserve">n a comprehensive post-electoral engagement strategy. </w:t>
      </w:r>
      <w:r w:rsidR="001017E8">
        <w:rPr>
          <w:rFonts w:cstheme="minorHAnsi"/>
        </w:rPr>
        <w:t xml:space="preserve">A team of two key </w:t>
      </w:r>
      <w:r w:rsidR="000439E8">
        <w:rPr>
          <w:rFonts w:cstheme="minorHAnsi"/>
        </w:rPr>
        <w:t xml:space="preserve">influential </w:t>
      </w:r>
      <w:r w:rsidR="001017E8">
        <w:rPr>
          <w:rFonts w:cstheme="minorHAnsi"/>
        </w:rPr>
        <w:t>CSOs from Tanzania Mainland and Zanzibar, together with the Tanzania Program Officer, spoke to key officials in the US government including</w:t>
      </w:r>
      <w:r w:rsidR="000439E8">
        <w:rPr>
          <w:rFonts w:cstheme="minorHAnsi"/>
        </w:rPr>
        <w:t xml:space="preserve"> in</w:t>
      </w:r>
      <w:r w:rsidR="001017E8">
        <w:rPr>
          <w:rFonts w:cstheme="minorHAnsi"/>
        </w:rPr>
        <w:t xml:space="preserve"> the </w:t>
      </w:r>
      <w:r w:rsidR="007E5612">
        <w:rPr>
          <w:rFonts w:cstheme="minorHAnsi"/>
        </w:rPr>
        <w:t xml:space="preserve">National Security Council at the </w:t>
      </w:r>
      <w:r w:rsidR="001017E8">
        <w:rPr>
          <w:rFonts w:cstheme="minorHAnsi"/>
        </w:rPr>
        <w:t xml:space="preserve">White House, </w:t>
      </w:r>
      <w:r w:rsidR="000439E8">
        <w:rPr>
          <w:rFonts w:cstheme="minorHAnsi"/>
        </w:rPr>
        <w:t xml:space="preserve">the </w:t>
      </w:r>
      <w:r w:rsidR="00922D57">
        <w:rPr>
          <w:rFonts w:cstheme="minorHAnsi"/>
        </w:rPr>
        <w:t>State Department</w:t>
      </w:r>
      <w:r w:rsidR="007E5612">
        <w:rPr>
          <w:rFonts w:cstheme="minorHAnsi"/>
        </w:rPr>
        <w:t xml:space="preserve">, </w:t>
      </w:r>
      <w:r w:rsidR="000439E8">
        <w:rPr>
          <w:rFonts w:cstheme="minorHAnsi"/>
        </w:rPr>
        <w:t xml:space="preserve">the </w:t>
      </w:r>
      <w:r w:rsidR="007E5612">
        <w:rPr>
          <w:rFonts w:cstheme="minorHAnsi"/>
        </w:rPr>
        <w:t xml:space="preserve">House Foreign Affairs Committee, </w:t>
      </w:r>
      <w:r w:rsidR="000439E8">
        <w:rPr>
          <w:rFonts w:cstheme="minorHAnsi"/>
        </w:rPr>
        <w:t xml:space="preserve">the </w:t>
      </w:r>
      <w:r w:rsidR="007E5612">
        <w:rPr>
          <w:rFonts w:cstheme="minorHAnsi"/>
        </w:rPr>
        <w:t>Senate Foreign Relations Committee, USA</w:t>
      </w:r>
      <w:r w:rsidR="000439E8">
        <w:rPr>
          <w:rFonts w:cstheme="minorHAnsi"/>
        </w:rPr>
        <w:t xml:space="preserve">ID and the </w:t>
      </w:r>
      <w:r w:rsidR="007E5612">
        <w:rPr>
          <w:rFonts w:cstheme="minorHAnsi"/>
        </w:rPr>
        <w:t>Millennium Challenge Corporation, a</w:t>
      </w:r>
      <w:r w:rsidR="000439E8">
        <w:rPr>
          <w:rFonts w:cstheme="minorHAnsi"/>
        </w:rPr>
        <w:t>s well as a</w:t>
      </w:r>
      <w:r w:rsidR="007E5612">
        <w:rPr>
          <w:rFonts w:cstheme="minorHAnsi"/>
        </w:rPr>
        <w:t xml:space="preserve"> CSOs roundtable and a public even</w:t>
      </w:r>
      <w:r w:rsidR="00C50E48">
        <w:rPr>
          <w:rFonts w:cstheme="minorHAnsi"/>
        </w:rPr>
        <w:t>t</w:t>
      </w:r>
      <w:r w:rsidR="007E5612">
        <w:rPr>
          <w:rFonts w:cstheme="minorHAnsi"/>
        </w:rPr>
        <w:t xml:space="preserve"> with key stakeholders including international media organised at the OSF-DC Office. </w:t>
      </w:r>
    </w:p>
    <w:p w:rsidR="002E4A00" w:rsidRDefault="002E4A00" w:rsidP="0054285E">
      <w:pPr>
        <w:tabs>
          <w:tab w:val="right" w:leader="dot" w:pos="8630"/>
        </w:tabs>
        <w:spacing w:after="0"/>
        <w:jc w:val="both"/>
        <w:rPr>
          <w:rFonts w:cstheme="minorHAnsi"/>
        </w:rPr>
      </w:pPr>
    </w:p>
    <w:p w:rsidR="002E3F7E" w:rsidRDefault="002E3F7E" w:rsidP="0054285E">
      <w:pPr>
        <w:tabs>
          <w:tab w:val="right" w:leader="dot" w:pos="8630"/>
        </w:tabs>
        <w:spacing w:after="0"/>
        <w:jc w:val="both"/>
        <w:rPr>
          <w:rFonts w:cstheme="minorHAnsi"/>
        </w:rPr>
      </w:pPr>
      <w:r>
        <w:rPr>
          <w:rFonts w:cstheme="minorHAnsi"/>
        </w:rPr>
        <w:lastRenderedPageBreak/>
        <w:t>Th</w:t>
      </w:r>
      <w:r w:rsidR="00FA7CFF">
        <w:rPr>
          <w:rFonts w:cstheme="minorHAnsi"/>
        </w:rPr>
        <w:t>e Tanzania office received</w:t>
      </w:r>
      <w:r>
        <w:rPr>
          <w:rFonts w:cstheme="minorHAnsi"/>
        </w:rPr>
        <w:t xml:space="preserve"> requests for interviews by national and international media including Aljazeera, BBC Swahili and DC based radios. </w:t>
      </w:r>
      <w:r w:rsidR="00A748E2">
        <w:rPr>
          <w:rFonts w:cstheme="minorHAnsi"/>
        </w:rPr>
        <w:t xml:space="preserve">In order to raise the visibility of </w:t>
      </w:r>
      <w:r>
        <w:rPr>
          <w:rFonts w:cstheme="minorHAnsi"/>
        </w:rPr>
        <w:t>our</w:t>
      </w:r>
      <w:r w:rsidR="00A748E2">
        <w:rPr>
          <w:rFonts w:cstheme="minorHAnsi"/>
        </w:rPr>
        <w:t xml:space="preserve"> grantees, OSIEA recommended various</w:t>
      </w:r>
      <w:r>
        <w:rPr>
          <w:rFonts w:cstheme="minorHAnsi"/>
        </w:rPr>
        <w:t xml:space="preserve"> grantees for most of these interviews requested. </w:t>
      </w:r>
    </w:p>
    <w:p w:rsidR="002E4A00" w:rsidRDefault="002E4A00" w:rsidP="0054285E">
      <w:pPr>
        <w:tabs>
          <w:tab w:val="right" w:leader="dot" w:pos="8630"/>
        </w:tabs>
        <w:spacing w:after="0"/>
        <w:jc w:val="both"/>
        <w:rPr>
          <w:rFonts w:cstheme="minorHAnsi"/>
        </w:rPr>
      </w:pPr>
    </w:p>
    <w:p w:rsidR="000A375B" w:rsidRDefault="00B276AD" w:rsidP="0054285E">
      <w:pPr>
        <w:tabs>
          <w:tab w:val="right" w:leader="dot" w:pos="8630"/>
        </w:tabs>
        <w:spacing w:after="0"/>
        <w:jc w:val="both"/>
        <w:rPr>
          <w:rFonts w:cstheme="minorHAnsi"/>
        </w:rPr>
      </w:pPr>
      <w:r>
        <w:rPr>
          <w:rFonts w:cstheme="minorHAnsi"/>
        </w:rPr>
        <w:t>OSIEA has made effort</w:t>
      </w:r>
      <w:r w:rsidR="002E4A00">
        <w:rPr>
          <w:rFonts w:cstheme="minorHAnsi"/>
        </w:rPr>
        <w:t>s</w:t>
      </w:r>
      <w:r>
        <w:rPr>
          <w:rFonts w:cstheme="minorHAnsi"/>
        </w:rPr>
        <w:t xml:space="preserve"> in growing</w:t>
      </w:r>
      <w:r w:rsidR="002E4A00">
        <w:rPr>
          <w:rFonts w:cstheme="minorHAnsi"/>
        </w:rPr>
        <w:t xml:space="preserve"> its</w:t>
      </w:r>
      <w:r>
        <w:rPr>
          <w:rFonts w:cstheme="minorHAnsi"/>
        </w:rPr>
        <w:t xml:space="preserve"> grantees. The </w:t>
      </w:r>
      <w:r w:rsidR="000A375B">
        <w:rPr>
          <w:rFonts w:cstheme="minorHAnsi"/>
        </w:rPr>
        <w:t>Tanzania Human Rights Defenders Coalition (THRDC)</w:t>
      </w:r>
      <w:r>
        <w:rPr>
          <w:rFonts w:cstheme="minorHAnsi"/>
        </w:rPr>
        <w:t xml:space="preserve"> for example publicly recognize</w:t>
      </w:r>
      <w:r w:rsidR="000A375B">
        <w:rPr>
          <w:rFonts w:cstheme="minorHAnsi"/>
        </w:rPr>
        <w:t xml:space="preserve"> our contribution to their growth</w:t>
      </w:r>
      <w:r>
        <w:rPr>
          <w:rFonts w:cstheme="minorHAnsi"/>
        </w:rPr>
        <w:t xml:space="preserve"> as we were </w:t>
      </w:r>
      <w:r w:rsidR="000A375B">
        <w:rPr>
          <w:rFonts w:cstheme="minorHAnsi"/>
        </w:rPr>
        <w:t>the</w:t>
      </w:r>
      <w:r>
        <w:rPr>
          <w:rFonts w:cstheme="minorHAnsi"/>
        </w:rPr>
        <w:t>ir</w:t>
      </w:r>
      <w:r w:rsidR="000A375B">
        <w:rPr>
          <w:rFonts w:cstheme="minorHAnsi"/>
        </w:rPr>
        <w:t xml:space="preserve"> first donor</w:t>
      </w:r>
      <w:r>
        <w:rPr>
          <w:rFonts w:cstheme="minorHAnsi"/>
        </w:rPr>
        <w:t xml:space="preserve"> in 2011 and have continued to walk with them to become strong members </w:t>
      </w:r>
      <w:r w:rsidR="000A375B">
        <w:rPr>
          <w:rFonts w:cstheme="minorHAnsi"/>
        </w:rPr>
        <w:t xml:space="preserve">of the Tanzania CSOs family. </w:t>
      </w:r>
      <w:r w:rsidR="00D428BE">
        <w:rPr>
          <w:rFonts w:cstheme="minorHAnsi"/>
        </w:rPr>
        <w:t xml:space="preserve">THRDC’s role in empowering </w:t>
      </w:r>
      <w:r>
        <w:rPr>
          <w:rFonts w:cstheme="minorHAnsi"/>
        </w:rPr>
        <w:t>Human Rights Defenders (HRDs)</w:t>
      </w:r>
      <w:r w:rsidR="00D428BE">
        <w:rPr>
          <w:rFonts w:cstheme="minorHAnsi"/>
        </w:rPr>
        <w:t xml:space="preserve"> with security knowledge and their efforts to secure the electoral process didn’t </w:t>
      </w:r>
      <w:r w:rsidR="00657067">
        <w:rPr>
          <w:rFonts w:cstheme="minorHAnsi"/>
        </w:rPr>
        <w:t>go unnoticed</w:t>
      </w:r>
      <w:r w:rsidR="00D428BE">
        <w:rPr>
          <w:rFonts w:cstheme="minorHAnsi"/>
        </w:rPr>
        <w:t>. Their coordinating role through the establish</w:t>
      </w:r>
      <w:r w:rsidR="002E4A00">
        <w:rPr>
          <w:rFonts w:cstheme="minorHAnsi"/>
        </w:rPr>
        <w:t>ment of the CSOs d</w:t>
      </w:r>
      <w:r w:rsidR="00D428BE">
        <w:rPr>
          <w:rFonts w:cstheme="minorHAnsi"/>
        </w:rPr>
        <w:t>irect</w:t>
      </w:r>
      <w:r w:rsidR="00657067">
        <w:rPr>
          <w:rFonts w:cstheme="minorHAnsi"/>
        </w:rPr>
        <w:t>or</w:t>
      </w:r>
      <w:r w:rsidR="00D428BE">
        <w:rPr>
          <w:rFonts w:cstheme="minorHAnsi"/>
        </w:rPr>
        <w:t>s</w:t>
      </w:r>
      <w:r w:rsidR="00657067">
        <w:rPr>
          <w:rFonts w:cstheme="minorHAnsi"/>
        </w:rPr>
        <w:t>’</w:t>
      </w:r>
      <w:r w:rsidR="00D428BE">
        <w:rPr>
          <w:rFonts w:cstheme="minorHAnsi"/>
        </w:rPr>
        <w:t xml:space="preserve"> group</w:t>
      </w:r>
      <w:r w:rsidR="00657067">
        <w:rPr>
          <w:rFonts w:cstheme="minorHAnsi"/>
        </w:rPr>
        <w:t xml:space="preserve"> provided l</w:t>
      </w:r>
      <w:r w:rsidR="003F7C15">
        <w:rPr>
          <w:rFonts w:cstheme="minorHAnsi"/>
        </w:rPr>
        <w:t>eadership at times of need, such as when</w:t>
      </w:r>
      <w:r w:rsidR="00657067">
        <w:rPr>
          <w:rFonts w:cstheme="minorHAnsi"/>
        </w:rPr>
        <w:t xml:space="preserve"> TACCEO Observation Centre was raided by the police. The group </w:t>
      </w:r>
      <w:r w:rsidR="003F7C15">
        <w:rPr>
          <w:rFonts w:cstheme="minorHAnsi"/>
        </w:rPr>
        <w:t>continues to bring together CSO</w:t>
      </w:r>
      <w:r w:rsidR="002E4A00">
        <w:rPr>
          <w:rFonts w:cstheme="minorHAnsi"/>
        </w:rPr>
        <w:t xml:space="preserve"> leaders and motivate them i</w:t>
      </w:r>
      <w:r w:rsidR="00657067">
        <w:rPr>
          <w:rFonts w:cstheme="minorHAnsi"/>
        </w:rPr>
        <w:t xml:space="preserve">n many spheres of their work. </w:t>
      </w:r>
    </w:p>
    <w:p w:rsidR="002E4A00" w:rsidRDefault="002E4A00" w:rsidP="0054285E">
      <w:pPr>
        <w:tabs>
          <w:tab w:val="right" w:leader="dot" w:pos="8630"/>
        </w:tabs>
        <w:spacing w:after="0"/>
        <w:jc w:val="both"/>
        <w:rPr>
          <w:rFonts w:cstheme="minorHAnsi"/>
        </w:rPr>
      </w:pPr>
    </w:p>
    <w:p w:rsidR="008D3C2B" w:rsidRDefault="0013125D" w:rsidP="0054285E">
      <w:pPr>
        <w:tabs>
          <w:tab w:val="right" w:leader="dot" w:pos="8630"/>
        </w:tabs>
        <w:spacing w:after="0"/>
        <w:jc w:val="both"/>
        <w:rPr>
          <w:rFonts w:cstheme="minorHAnsi"/>
        </w:rPr>
      </w:pPr>
      <w:r>
        <w:rPr>
          <w:rFonts w:cstheme="minorHAnsi"/>
        </w:rPr>
        <w:t>Despite l</w:t>
      </w:r>
      <w:r w:rsidR="0049512F">
        <w:rPr>
          <w:rFonts w:cstheme="minorHAnsi"/>
        </w:rPr>
        <w:t>imited human r</w:t>
      </w:r>
      <w:r>
        <w:rPr>
          <w:rFonts w:cstheme="minorHAnsi"/>
        </w:rPr>
        <w:t>esource</w:t>
      </w:r>
      <w:r w:rsidR="002E4A00">
        <w:rPr>
          <w:rFonts w:cstheme="minorHAnsi"/>
        </w:rPr>
        <w:t>s</w:t>
      </w:r>
      <w:r>
        <w:rPr>
          <w:rFonts w:cstheme="minorHAnsi"/>
        </w:rPr>
        <w:t xml:space="preserve"> at the Tanzania office, we managed to implement our strategy successfully </w:t>
      </w:r>
      <w:r w:rsidR="00FF6C10">
        <w:rPr>
          <w:rFonts w:cstheme="minorHAnsi"/>
        </w:rPr>
        <w:t>thanks to the</w:t>
      </w:r>
      <w:r w:rsidR="0049512F">
        <w:rPr>
          <w:rFonts w:cstheme="minorHAnsi"/>
        </w:rPr>
        <w:t xml:space="preserve"> endless hands that kept rea</w:t>
      </w:r>
      <w:r>
        <w:rPr>
          <w:rFonts w:cstheme="minorHAnsi"/>
        </w:rPr>
        <w:t>ching out from within OSIEA/OSF</w:t>
      </w:r>
      <w:r w:rsidR="0049512F">
        <w:rPr>
          <w:rFonts w:cstheme="minorHAnsi"/>
        </w:rPr>
        <w:t xml:space="preserve">. </w:t>
      </w:r>
      <w:r>
        <w:rPr>
          <w:rFonts w:cstheme="minorHAnsi"/>
        </w:rPr>
        <w:t>It is our opinion that co-funding outside OSF needs to be made more flexible</w:t>
      </w:r>
      <w:r w:rsidR="00520941">
        <w:rPr>
          <w:rFonts w:cstheme="minorHAnsi"/>
        </w:rPr>
        <w:t xml:space="preserve">. </w:t>
      </w:r>
    </w:p>
    <w:p w:rsidR="002E4A00" w:rsidRDefault="002E4A00" w:rsidP="0054285E">
      <w:pPr>
        <w:tabs>
          <w:tab w:val="right" w:leader="dot" w:pos="8630"/>
        </w:tabs>
        <w:spacing w:after="0"/>
        <w:jc w:val="both"/>
        <w:rPr>
          <w:rFonts w:cstheme="minorHAnsi"/>
        </w:rPr>
      </w:pPr>
    </w:p>
    <w:p w:rsidR="008D3C2B" w:rsidRPr="002E4A00" w:rsidRDefault="008D3C2B" w:rsidP="0054285E">
      <w:pPr>
        <w:shd w:val="clear" w:color="auto" w:fill="17365D" w:themeFill="text2" w:themeFillShade="BF"/>
        <w:tabs>
          <w:tab w:val="right" w:leader="dot" w:pos="8630"/>
        </w:tabs>
        <w:spacing w:after="0"/>
        <w:jc w:val="both"/>
        <w:rPr>
          <w:rFonts w:ascii="Garamond" w:hAnsi="Garamond" w:cstheme="minorHAnsi"/>
          <w:b/>
        </w:rPr>
      </w:pPr>
      <w:r w:rsidRPr="002E4A00">
        <w:rPr>
          <w:rFonts w:ascii="Garamond" w:hAnsi="Garamond" w:cstheme="minorHAnsi"/>
          <w:b/>
        </w:rPr>
        <w:t>ASSESSMENT OF OUR GRANTEES</w:t>
      </w:r>
    </w:p>
    <w:p w:rsidR="001F4CC3" w:rsidRDefault="001F4CC3" w:rsidP="0054285E">
      <w:pPr>
        <w:tabs>
          <w:tab w:val="right" w:leader="dot" w:pos="8630"/>
        </w:tabs>
        <w:spacing w:after="0"/>
        <w:jc w:val="both"/>
        <w:rPr>
          <w:rFonts w:cstheme="minorHAnsi"/>
        </w:rPr>
      </w:pPr>
      <w:r w:rsidRPr="001F4CC3">
        <w:rPr>
          <w:rFonts w:cstheme="minorHAnsi"/>
        </w:rPr>
        <w:t xml:space="preserve">Summary of grants </w:t>
      </w:r>
      <w:r w:rsidR="00B77D9A">
        <w:rPr>
          <w:rFonts w:cstheme="minorHAnsi"/>
        </w:rPr>
        <w:t xml:space="preserve">towards elections </w:t>
      </w:r>
      <w:r w:rsidR="00B437BE">
        <w:rPr>
          <w:rFonts w:cstheme="minorHAnsi"/>
        </w:rPr>
        <w:t>between 2014/2016</w:t>
      </w:r>
      <w:r w:rsidRPr="001F4CC3">
        <w:rPr>
          <w:rFonts w:cstheme="minorHAnsi"/>
        </w:rPr>
        <w:t xml:space="preserve"> are as follows</w:t>
      </w:r>
      <w:r w:rsidR="002E4A00">
        <w:rPr>
          <w:rFonts w:cstheme="minorHAnsi"/>
        </w:rPr>
        <w:t>:</w:t>
      </w:r>
    </w:p>
    <w:p w:rsidR="002E4A00" w:rsidRPr="001F4CC3" w:rsidRDefault="002E4A00" w:rsidP="0054285E">
      <w:pPr>
        <w:tabs>
          <w:tab w:val="right" w:leader="dot" w:pos="8630"/>
        </w:tabs>
        <w:spacing w:after="0"/>
        <w:jc w:val="both"/>
        <w:rPr>
          <w:rFonts w:cstheme="minorHAnsi"/>
        </w:rPr>
      </w:pPr>
    </w:p>
    <w:p w:rsidR="001F4CC3" w:rsidRPr="00371494" w:rsidRDefault="00B77D9A" w:rsidP="0054285E">
      <w:pPr>
        <w:tabs>
          <w:tab w:val="right" w:leader="dot" w:pos="8630"/>
        </w:tabs>
        <w:spacing w:after="0"/>
        <w:jc w:val="both"/>
        <w:rPr>
          <w:rFonts w:cstheme="minorHAnsi"/>
          <w:b/>
        </w:rPr>
      </w:pPr>
      <w:r w:rsidRPr="00371494">
        <w:rPr>
          <w:rFonts w:cstheme="minorHAnsi"/>
          <w:b/>
        </w:rPr>
        <w:t>1.</w:t>
      </w:r>
      <w:r w:rsidR="00BD5B0E" w:rsidRPr="00371494">
        <w:rPr>
          <w:rFonts w:cstheme="minorHAnsi"/>
          <w:b/>
        </w:rPr>
        <w:t xml:space="preserve"> </w:t>
      </w:r>
      <w:r w:rsidR="001F4CC3" w:rsidRPr="00371494">
        <w:rPr>
          <w:rFonts w:cstheme="minorHAnsi"/>
          <w:b/>
        </w:rPr>
        <w:t>Tanzania Human Rights Defenders (THRD)</w:t>
      </w:r>
    </w:p>
    <w:p w:rsidR="001F4CC3" w:rsidRDefault="001F4CC3" w:rsidP="0054285E">
      <w:pPr>
        <w:tabs>
          <w:tab w:val="right" w:leader="dot" w:pos="8630"/>
        </w:tabs>
        <w:spacing w:after="0"/>
        <w:jc w:val="both"/>
        <w:rPr>
          <w:rFonts w:cstheme="minorHAnsi"/>
        </w:rPr>
      </w:pPr>
      <w:r w:rsidRPr="001F4CC3">
        <w:rPr>
          <w:rFonts w:cstheme="minorHAnsi"/>
        </w:rPr>
        <w:t xml:space="preserve">Founded in 2012, Tanzania Human Rights Defenders Coalition (THRDC) is </w:t>
      </w:r>
      <w:r w:rsidR="00B77D9A">
        <w:rPr>
          <w:rFonts w:cstheme="minorHAnsi"/>
        </w:rPr>
        <w:t xml:space="preserve">a </w:t>
      </w:r>
      <w:r w:rsidRPr="001F4CC3">
        <w:rPr>
          <w:rFonts w:cstheme="minorHAnsi"/>
        </w:rPr>
        <w:t xml:space="preserve">member-based organization with over a hundred members, both individual </w:t>
      </w:r>
      <w:r w:rsidR="00B77D9A">
        <w:rPr>
          <w:rFonts w:cstheme="minorHAnsi"/>
        </w:rPr>
        <w:t xml:space="preserve">human rights </w:t>
      </w:r>
      <w:r w:rsidR="002E4A00">
        <w:rPr>
          <w:rFonts w:cstheme="minorHAnsi"/>
        </w:rPr>
        <w:t>d</w:t>
      </w:r>
      <w:r w:rsidR="00B77D9A">
        <w:rPr>
          <w:rFonts w:cstheme="minorHAnsi"/>
        </w:rPr>
        <w:t xml:space="preserve">efenders (HRDs) </w:t>
      </w:r>
      <w:r w:rsidR="002E4A00">
        <w:rPr>
          <w:rFonts w:cstheme="minorHAnsi"/>
        </w:rPr>
        <w:t>and h</w:t>
      </w:r>
      <w:r w:rsidRPr="001F4CC3">
        <w:rPr>
          <w:rFonts w:cstheme="minorHAnsi"/>
        </w:rPr>
        <w:t xml:space="preserve">uman </w:t>
      </w:r>
      <w:r w:rsidR="002E4A00">
        <w:rPr>
          <w:rFonts w:cstheme="minorHAnsi"/>
        </w:rPr>
        <w:t>rights o</w:t>
      </w:r>
      <w:r w:rsidRPr="001F4CC3">
        <w:rPr>
          <w:rFonts w:cstheme="minorHAnsi"/>
        </w:rPr>
        <w:t xml:space="preserve">rganizations. We </w:t>
      </w:r>
      <w:r w:rsidR="00B77D9A">
        <w:rPr>
          <w:rFonts w:cstheme="minorHAnsi"/>
        </w:rPr>
        <w:t>gave</w:t>
      </w:r>
      <w:r w:rsidR="00B77D9A" w:rsidRPr="001F4CC3">
        <w:rPr>
          <w:rFonts w:cstheme="minorHAnsi"/>
        </w:rPr>
        <w:t xml:space="preserve"> </w:t>
      </w:r>
      <w:r w:rsidRPr="001F4CC3">
        <w:rPr>
          <w:rFonts w:cstheme="minorHAnsi"/>
        </w:rPr>
        <w:t xml:space="preserve">them </w:t>
      </w:r>
      <w:r w:rsidR="009B6546">
        <w:rPr>
          <w:rFonts w:cstheme="minorHAnsi"/>
        </w:rPr>
        <w:t xml:space="preserve">a two </w:t>
      </w:r>
      <w:r w:rsidR="00BD5B0E" w:rsidRPr="001F4CC3">
        <w:rPr>
          <w:rFonts w:cstheme="minorHAnsi"/>
        </w:rPr>
        <w:t>year</w:t>
      </w:r>
      <w:r w:rsidRPr="001F4CC3">
        <w:rPr>
          <w:rFonts w:cstheme="minorHAnsi"/>
        </w:rPr>
        <w:t xml:space="preserve"> grant amounting to $180,000 for Security Management and Protection for </w:t>
      </w:r>
      <w:r w:rsidR="002E4A00">
        <w:rPr>
          <w:rFonts w:cstheme="minorHAnsi"/>
        </w:rPr>
        <w:t>HRDs</w:t>
      </w:r>
      <w:r w:rsidRPr="001F4CC3">
        <w:rPr>
          <w:rFonts w:cstheme="minorHAnsi"/>
        </w:rPr>
        <w:t xml:space="preserve"> in Tan</w:t>
      </w:r>
      <w:r w:rsidR="002330BB">
        <w:rPr>
          <w:rFonts w:cstheme="minorHAnsi"/>
        </w:rPr>
        <w:t>zania.</w:t>
      </w:r>
      <w:r w:rsidRPr="001F4CC3">
        <w:rPr>
          <w:rFonts w:cstheme="minorHAnsi"/>
        </w:rPr>
        <w:t xml:space="preserve"> In its first year (2015) of the project timeline</w:t>
      </w:r>
      <w:r w:rsidR="009B6546">
        <w:rPr>
          <w:rFonts w:cstheme="minorHAnsi"/>
        </w:rPr>
        <w:t>,</w:t>
      </w:r>
      <w:r w:rsidRPr="001F4CC3">
        <w:rPr>
          <w:rFonts w:cstheme="minorHAnsi"/>
        </w:rPr>
        <w:t xml:space="preserve"> THRDC f</w:t>
      </w:r>
      <w:r w:rsidR="002E4A00">
        <w:rPr>
          <w:rFonts w:cstheme="minorHAnsi"/>
        </w:rPr>
        <w:t>ocused on security of HRDs and j</w:t>
      </w:r>
      <w:r w:rsidRPr="001F4CC3">
        <w:rPr>
          <w:rFonts w:cstheme="minorHAnsi"/>
        </w:rPr>
        <w:t>ournalists for the 2015 gener</w:t>
      </w:r>
      <w:r w:rsidR="001E4763">
        <w:rPr>
          <w:rFonts w:cstheme="minorHAnsi"/>
        </w:rPr>
        <w:t xml:space="preserve">al election, </w:t>
      </w:r>
      <w:r w:rsidR="002330BB">
        <w:rPr>
          <w:rFonts w:cstheme="minorHAnsi"/>
        </w:rPr>
        <w:t>group</w:t>
      </w:r>
      <w:r w:rsidR="002E4A00">
        <w:rPr>
          <w:rFonts w:cstheme="minorHAnsi"/>
        </w:rPr>
        <w:t>s that are</w:t>
      </w:r>
      <w:r w:rsidR="001E4763">
        <w:rPr>
          <w:rFonts w:cstheme="minorHAnsi"/>
        </w:rPr>
        <w:t xml:space="preserve"> often at the forefront becoming victims of violence and intimidation by politicians and sometime</w:t>
      </w:r>
      <w:r w:rsidR="002E4A00">
        <w:rPr>
          <w:rFonts w:cstheme="minorHAnsi"/>
        </w:rPr>
        <w:t>s</w:t>
      </w:r>
      <w:r w:rsidR="001E4763">
        <w:rPr>
          <w:rFonts w:cstheme="minorHAnsi"/>
        </w:rPr>
        <w:t xml:space="preserve"> even government </w:t>
      </w:r>
      <w:r w:rsidR="002330BB">
        <w:rPr>
          <w:rFonts w:cstheme="minorHAnsi"/>
        </w:rPr>
        <w:t>officials</w:t>
      </w:r>
      <w:r w:rsidRPr="001F4CC3">
        <w:rPr>
          <w:rFonts w:cstheme="minorHAnsi"/>
        </w:rPr>
        <w:t>.</w:t>
      </w:r>
      <w:r w:rsidR="001E4763">
        <w:rPr>
          <w:rFonts w:cstheme="minorHAnsi"/>
        </w:rPr>
        <w:t xml:space="preserve"> This </w:t>
      </w:r>
      <w:r w:rsidR="009B6546">
        <w:rPr>
          <w:rFonts w:cstheme="minorHAnsi"/>
        </w:rPr>
        <w:t>grant enabled THRDC</w:t>
      </w:r>
      <w:r w:rsidR="002E4A00">
        <w:rPr>
          <w:rFonts w:cstheme="minorHAnsi"/>
        </w:rPr>
        <w:t xml:space="preserve"> to</w:t>
      </w:r>
      <w:r w:rsidR="009B6546">
        <w:rPr>
          <w:rFonts w:cstheme="minorHAnsi"/>
        </w:rPr>
        <w:t xml:space="preserve"> </w:t>
      </w:r>
      <w:r w:rsidR="002330BB">
        <w:rPr>
          <w:rFonts w:cstheme="minorHAnsi"/>
        </w:rPr>
        <w:t>conduct several trainings across Tanzania Mainland and Zanzibar on securing the electoral process with some key actors like law enforcers, the judiciary,</w:t>
      </w:r>
      <w:r w:rsidR="009B6546">
        <w:rPr>
          <w:rFonts w:cstheme="minorHAnsi"/>
        </w:rPr>
        <w:t xml:space="preserve"> and media</w:t>
      </w:r>
      <w:r w:rsidR="002330BB">
        <w:rPr>
          <w:rFonts w:cstheme="minorHAnsi"/>
        </w:rPr>
        <w:t>. Most importantly, it enable</w:t>
      </w:r>
      <w:r w:rsidR="00B77D9A">
        <w:rPr>
          <w:rFonts w:cstheme="minorHAnsi"/>
        </w:rPr>
        <w:t>d</w:t>
      </w:r>
      <w:r w:rsidR="009B6546">
        <w:rPr>
          <w:rFonts w:cstheme="minorHAnsi"/>
        </w:rPr>
        <w:t xml:space="preserve"> them to impar</w:t>
      </w:r>
      <w:r w:rsidR="002330BB">
        <w:rPr>
          <w:rFonts w:cstheme="minorHAnsi"/>
        </w:rPr>
        <w:t>t HRDs with skills and techniques</w:t>
      </w:r>
      <w:r w:rsidR="00AE7200">
        <w:rPr>
          <w:rFonts w:cstheme="minorHAnsi"/>
        </w:rPr>
        <w:t xml:space="preserve"> to protect themselves during the process. </w:t>
      </w:r>
      <w:r w:rsidR="009B6546">
        <w:rPr>
          <w:rFonts w:cstheme="minorHAnsi"/>
        </w:rPr>
        <w:t xml:space="preserve">The </w:t>
      </w:r>
      <w:r w:rsidR="00931578">
        <w:rPr>
          <w:rFonts w:cstheme="minorHAnsi"/>
        </w:rPr>
        <w:t>Chief Justice of Tanzania was impressed with one of their training</w:t>
      </w:r>
      <w:r w:rsidR="009B6546">
        <w:rPr>
          <w:rFonts w:cstheme="minorHAnsi"/>
        </w:rPr>
        <w:t>s</w:t>
      </w:r>
      <w:r w:rsidR="00AD08CE">
        <w:rPr>
          <w:rFonts w:cstheme="minorHAnsi"/>
        </w:rPr>
        <w:t xml:space="preserve"> f</w:t>
      </w:r>
      <w:r w:rsidR="00931578">
        <w:rPr>
          <w:rFonts w:cstheme="minorHAnsi"/>
        </w:rPr>
        <w:t>o</w:t>
      </w:r>
      <w:r w:rsidR="00AD08CE">
        <w:rPr>
          <w:rFonts w:cstheme="minorHAnsi"/>
        </w:rPr>
        <w:t>r</w:t>
      </w:r>
      <w:r w:rsidR="00931578">
        <w:rPr>
          <w:rFonts w:cstheme="minorHAnsi"/>
        </w:rPr>
        <w:t xml:space="preserve"> judges and </w:t>
      </w:r>
      <w:r w:rsidR="003142FF">
        <w:rPr>
          <w:rFonts w:cstheme="minorHAnsi"/>
        </w:rPr>
        <w:t>c</w:t>
      </w:r>
      <w:r w:rsidR="00B77D9A">
        <w:rPr>
          <w:rFonts w:cstheme="minorHAnsi"/>
        </w:rPr>
        <w:t>ommitted</w:t>
      </w:r>
      <w:r w:rsidR="00931578">
        <w:rPr>
          <w:rFonts w:cstheme="minorHAnsi"/>
        </w:rPr>
        <w:t xml:space="preserve"> to fund a co</w:t>
      </w:r>
      <w:r w:rsidR="009B6546">
        <w:rPr>
          <w:rFonts w:cstheme="minorHAnsi"/>
        </w:rPr>
        <w:t>ntinuation of the training. There</w:t>
      </w:r>
      <w:r w:rsidR="00931578">
        <w:rPr>
          <w:rFonts w:cstheme="minorHAnsi"/>
        </w:rPr>
        <w:t xml:space="preserve"> is </w:t>
      </w:r>
      <w:r w:rsidR="009B6546">
        <w:rPr>
          <w:rFonts w:cstheme="minorHAnsi"/>
        </w:rPr>
        <w:t xml:space="preserve">opportunity </w:t>
      </w:r>
      <w:r w:rsidR="00185DF9">
        <w:rPr>
          <w:rFonts w:cstheme="minorHAnsi"/>
        </w:rPr>
        <w:t>for continued</w:t>
      </w:r>
      <w:r w:rsidR="009B6546">
        <w:rPr>
          <w:rFonts w:cstheme="minorHAnsi"/>
        </w:rPr>
        <w:t xml:space="preserve"> cooperation with this grantee.</w:t>
      </w:r>
    </w:p>
    <w:p w:rsidR="002E4A00" w:rsidRPr="001F4CC3" w:rsidRDefault="002E4A00" w:rsidP="0054285E">
      <w:pPr>
        <w:tabs>
          <w:tab w:val="right" w:leader="dot" w:pos="8630"/>
        </w:tabs>
        <w:spacing w:after="0"/>
        <w:jc w:val="both"/>
        <w:rPr>
          <w:rFonts w:cstheme="minorHAnsi"/>
        </w:rPr>
      </w:pPr>
    </w:p>
    <w:p w:rsidR="001F4CC3" w:rsidRPr="00371494" w:rsidRDefault="00B77D9A" w:rsidP="0054285E">
      <w:pPr>
        <w:tabs>
          <w:tab w:val="right" w:leader="dot" w:pos="8630"/>
        </w:tabs>
        <w:spacing w:after="0"/>
        <w:jc w:val="both"/>
        <w:rPr>
          <w:rFonts w:cstheme="minorHAnsi"/>
          <w:b/>
        </w:rPr>
      </w:pPr>
      <w:r w:rsidRPr="00371494">
        <w:rPr>
          <w:rFonts w:cstheme="minorHAnsi"/>
          <w:b/>
        </w:rPr>
        <w:t>2.</w:t>
      </w:r>
      <w:r w:rsidR="00DE2224" w:rsidRPr="00371494">
        <w:rPr>
          <w:rFonts w:cstheme="minorHAnsi"/>
          <w:b/>
        </w:rPr>
        <w:t xml:space="preserve"> </w:t>
      </w:r>
      <w:r w:rsidR="001F4CC3" w:rsidRPr="00371494">
        <w:rPr>
          <w:rFonts w:cstheme="minorHAnsi"/>
          <w:b/>
        </w:rPr>
        <w:t>Coalition for Election Monitoring and Observation Tanzania (CEMOT)</w:t>
      </w:r>
    </w:p>
    <w:p w:rsidR="004D0E5A" w:rsidRDefault="00185DF9" w:rsidP="0054285E">
      <w:pPr>
        <w:tabs>
          <w:tab w:val="right" w:leader="dot" w:pos="8630"/>
        </w:tabs>
        <w:spacing w:after="0"/>
        <w:jc w:val="both"/>
        <w:rPr>
          <w:rFonts w:cstheme="minorHAnsi"/>
        </w:rPr>
      </w:pPr>
      <w:r>
        <w:rPr>
          <w:rFonts w:cstheme="minorHAnsi"/>
        </w:rPr>
        <w:t>CEMOT</w:t>
      </w:r>
      <w:r w:rsidR="001F4CC3" w:rsidRPr="001F4CC3">
        <w:rPr>
          <w:rFonts w:cstheme="minorHAnsi"/>
        </w:rPr>
        <w:t xml:space="preserve"> was formed by member organizations from the Tanzania Civil Society Consortium for Election Observation (TACCEO) and Tanzania Election Monitoring Committee (TEMCO). We supported a one year project to set up the Election Observation Centre (EOC) that aimed to monitor and observe the 2015 Tanzania G</w:t>
      </w:r>
      <w:r>
        <w:rPr>
          <w:rFonts w:cstheme="minorHAnsi"/>
        </w:rPr>
        <w:t>eneral Elections. We supported USD.</w:t>
      </w:r>
      <w:r w:rsidR="001F4CC3" w:rsidRPr="001F4CC3">
        <w:rPr>
          <w:rFonts w:cstheme="minorHAnsi"/>
        </w:rPr>
        <w:t>709</w:t>
      </w:r>
      <w:proofErr w:type="gramStart"/>
      <w:r w:rsidR="001F4CC3" w:rsidRPr="001F4CC3">
        <w:rPr>
          <w:rFonts w:cstheme="minorHAnsi"/>
        </w:rPr>
        <w:t>,178</w:t>
      </w:r>
      <w:proofErr w:type="gramEnd"/>
      <w:r w:rsidR="00462296">
        <w:rPr>
          <w:rFonts w:cstheme="minorHAnsi"/>
        </w:rPr>
        <w:t xml:space="preserve"> with </w:t>
      </w:r>
      <w:r>
        <w:rPr>
          <w:rFonts w:cstheme="minorHAnsi"/>
        </w:rPr>
        <w:t xml:space="preserve">each of </w:t>
      </w:r>
      <w:r w:rsidR="00AD08CE">
        <w:rPr>
          <w:rFonts w:cstheme="minorHAnsi"/>
        </w:rPr>
        <w:t>O</w:t>
      </w:r>
      <w:r w:rsidR="00462296">
        <w:rPr>
          <w:rFonts w:cstheme="minorHAnsi"/>
        </w:rPr>
        <w:t>SIEA</w:t>
      </w:r>
      <w:r w:rsidR="00AD08CE">
        <w:rPr>
          <w:rFonts w:cstheme="minorHAnsi"/>
        </w:rPr>
        <w:t>’s c</w:t>
      </w:r>
      <w:r w:rsidR="00462296">
        <w:rPr>
          <w:rFonts w:cstheme="minorHAnsi"/>
        </w:rPr>
        <w:t>ount</w:t>
      </w:r>
      <w:r w:rsidR="006A5002">
        <w:rPr>
          <w:rFonts w:cstheme="minorHAnsi"/>
        </w:rPr>
        <w:t xml:space="preserve">ry programs contributing </w:t>
      </w:r>
      <w:r w:rsidR="00AD08CE">
        <w:rPr>
          <w:rFonts w:cstheme="minorHAnsi"/>
        </w:rPr>
        <w:t>USD</w:t>
      </w:r>
      <w:r w:rsidR="00AD08CE">
        <w:rPr>
          <w:rFonts w:cstheme="minorHAnsi"/>
        </w:rPr>
        <w:t>.</w:t>
      </w:r>
      <w:r w:rsidR="006A5002">
        <w:rPr>
          <w:rFonts w:cstheme="minorHAnsi"/>
        </w:rPr>
        <w:t>50,000</w:t>
      </w:r>
      <w:r>
        <w:rPr>
          <w:rFonts w:cstheme="minorHAnsi"/>
        </w:rPr>
        <w:t xml:space="preserve"> to this cause</w:t>
      </w:r>
      <w:r w:rsidR="001F4CC3" w:rsidRPr="001F4CC3">
        <w:rPr>
          <w:rFonts w:cstheme="minorHAnsi"/>
        </w:rPr>
        <w:t xml:space="preserve"> and later </w:t>
      </w:r>
      <w:r>
        <w:rPr>
          <w:rFonts w:cstheme="minorHAnsi"/>
        </w:rPr>
        <w:t xml:space="preserve">the </w:t>
      </w:r>
      <w:r w:rsidR="001F4CC3" w:rsidRPr="001F4CC3">
        <w:rPr>
          <w:rFonts w:cstheme="minorHAnsi"/>
        </w:rPr>
        <w:t>Canadian and D</w:t>
      </w:r>
      <w:r>
        <w:rPr>
          <w:rFonts w:cstheme="minorHAnsi"/>
        </w:rPr>
        <w:t>anish embassies also contributing USD.</w:t>
      </w:r>
      <w:r w:rsidR="00AD08CE">
        <w:rPr>
          <w:rFonts w:cstheme="minorHAnsi"/>
        </w:rPr>
        <w:t>1 Million</w:t>
      </w:r>
      <w:r>
        <w:rPr>
          <w:rFonts w:cstheme="minorHAnsi"/>
        </w:rPr>
        <w:t xml:space="preserve"> to the project.  The Centre (EOC) </w:t>
      </w:r>
      <w:r w:rsidR="001F4CC3" w:rsidRPr="001F4CC3">
        <w:rPr>
          <w:rFonts w:cstheme="minorHAnsi"/>
        </w:rPr>
        <w:t>co-chaired by TACCEO and</w:t>
      </w:r>
      <w:r>
        <w:rPr>
          <w:rFonts w:cstheme="minorHAnsi"/>
        </w:rPr>
        <w:t xml:space="preserve"> TEMCO, engaged at least ten thousand </w:t>
      </w:r>
      <w:r w:rsidR="001F4CC3" w:rsidRPr="001F4CC3">
        <w:rPr>
          <w:rFonts w:cstheme="minorHAnsi"/>
        </w:rPr>
        <w:t xml:space="preserve">citizens in election observation and monitoring including </w:t>
      </w:r>
      <w:r>
        <w:rPr>
          <w:rFonts w:cstheme="minorHAnsi"/>
        </w:rPr>
        <w:t xml:space="preserve">monitoring </w:t>
      </w:r>
      <w:r w:rsidR="001F4CC3" w:rsidRPr="001F4CC3">
        <w:rPr>
          <w:rFonts w:cstheme="minorHAnsi"/>
        </w:rPr>
        <w:t xml:space="preserve">the functioning of </w:t>
      </w:r>
      <w:r w:rsidR="001F4CC3" w:rsidRPr="001F4CC3">
        <w:rPr>
          <w:rFonts w:cstheme="minorHAnsi"/>
        </w:rPr>
        <w:lastRenderedPageBreak/>
        <w:t xml:space="preserve">election management bodies throughout the </w:t>
      </w:r>
      <w:r w:rsidR="00AD08CE">
        <w:rPr>
          <w:rFonts w:cstheme="minorHAnsi"/>
        </w:rPr>
        <w:t xml:space="preserve">electoral period and </w:t>
      </w:r>
      <w:r w:rsidR="001F4CC3" w:rsidRPr="001F4CC3">
        <w:rPr>
          <w:rFonts w:cstheme="minorHAnsi"/>
        </w:rPr>
        <w:t>principals of democracy and human rights observation.</w:t>
      </w:r>
      <w:r w:rsidR="00A22C7B">
        <w:rPr>
          <w:rFonts w:cstheme="minorHAnsi"/>
        </w:rPr>
        <w:t xml:space="preserve"> The platform also offered an avenue for citizen journalism thr</w:t>
      </w:r>
      <w:r w:rsidR="00B0624F">
        <w:rPr>
          <w:rFonts w:cstheme="minorHAnsi"/>
        </w:rPr>
        <w:t xml:space="preserve">ough </w:t>
      </w:r>
      <w:r w:rsidR="00B42576">
        <w:rPr>
          <w:rFonts w:cstheme="minorHAnsi"/>
        </w:rPr>
        <w:t>short code</w:t>
      </w:r>
      <w:r w:rsidR="00A22C7B">
        <w:rPr>
          <w:rFonts w:cstheme="minorHAnsi"/>
        </w:rPr>
        <w:t xml:space="preserve"> and social media platform</w:t>
      </w:r>
      <w:r w:rsidR="00AD08CE">
        <w:rPr>
          <w:rFonts w:cstheme="minorHAnsi"/>
        </w:rPr>
        <w:t>s</w:t>
      </w:r>
      <w:r w:rsidR="00A22C7B">
        <w:rPr>
          <w:rFonts w:cstheme="minorHAnsi"/>
        </w:rPr>
        <w:t>. One of the key objectives of the platform was to ensure rapid response system</w:t>
      </w:r>
      <w:r w:rsidR="00AD08CE">
        <w:rPr>
          <w:rFonts w:cstheme="minorHAnsi"/>
        </w:rPr>
        <w:t>s</w:t>
      </w:r>
      <w:r w:rsidR="00A22C7B">
        <w:rPr>
          <w:rFonts w:cstheme="minorHAnsi"/>
        </w:rPr>
        <w:t xml:space="preserve"> f</w:t>
      </w:r>
      <w:r w:rsidR="00AD08CE">
        <w:rPr>
          <w:rFonts w:cstheme="minorHAnsi"/>
        </w:rPr>
        <w:t xml:space="preserve">or </w:t>
      </w:r>
      <w:r w:rsidR="00A22C7B">
        <w:rPr>
          <w:rFonts w:cstheme="minorHAnsi"/>
        </w:rPr>
        <w:t xml:space="preserve">EMBs, </w:t>
      </w:r>
      <w:r w:rsidR="00AD08CE">
        <w:rPr>
          <w:rFonts w:cstheme="minorHAnsi"/>
        </w:rPr>
        <w:t>which</w:t>
      </w:r>
      <w:r w:rsidR="00A22C7B">
        <w:rPr>
          <w:rFonts w:cstheme="minorHAnsi"/>
        </w:rPr>
        <w:t xml:space="preserve"> was largely achieved with the police, who had their rep</w:t>
      </w:r>
      <w:r w:rsidR="00C21D86">
        <w:rPr>
          <w:rFonts w:cstheme="minorHAnsi"/>
        </w:rPr>
        <w:t>resentative at the centre. However</w:t>
      </w:r>
      <w:r w:rsidR="00AD08CE">
        <w:rPr>
          <w:rFonts w:cstheme="minorHAnsi"/>
        </w:rPr>
        <w:t>,</w:t>
      </w:r>
      <w:r w:rsidR="00C21D86">
        <w:rPr>
          <w:rFonts w:cstheme="minorHAnsi"/>
        </w:rPr>
        <w:t xml:space="preserve"> success with the NEC was limited.</w:t>
      </w:r>
      <w:r w:rsidR="00A22C7B">
        <w:rPr>
          <w:rFonts w:cstheme="minorHAnsi"/>
        </w:rPr>
        <w:t xml:space="preserve"> </w:t>
      </w:r>
    </w:p>
    <w:p w:rsidR="00AD08CE" w:rsidRPr="00371494" w:rsidRDefault="00AD08CE" w:rsidP="0054285E">
      <w:pPr>
        <w:tabs>
          <w:tab w:val="right" w:leader="dot" w:pos="8630"/>
        </w:tabs>
        <w:spacing w:after="0"/>
        <w:jc w:val="both"/>
        <w:rPr>
          <w:rFonts w:cstheme="minorHAnsi"/>
        </w:rPr>
      </w:pPr>
    </w:p>
    <w:p w:rsidR="001F4CC3" w:rsidRPr="00371494" w:rsidRDefault="00B77D9A" w:rsidP="0054285E">
      <w:pPr>
        <w:tabs>
          <w:tab w:val="right" w:leader="dot" w:pos="8630"/>
        </w:tabs>
        <w:spacing w:after="0"/>
        <w:jc w:val="both"/>
        <w:rPr>
          <w:rFonts w:cstheme="minorHAnsi"/>
          <w:b/>
        </w:rPr>
      </w:pPr>
      <w:r w:rsidRPr="00371494">
        <w:rPr>
          <w:rFonts w:cstheme="minorHAnsi"/>
          <w:b/>
        </w:rPr>
        <w:t>3.</w:t>
      </w:r>
      <w:r w:rsidR="00DE2224" w:rsidRPr="00371494">
        <w:rPr>
          <w:rFonts w:cstheme="minorHAnsi"/>
          <w:b/>
        </w:rPr>
        <w:t xml:space="preserve"> </w:t>
      </w:r>
      <w:proofErr w:type="spellStart"/>
      <w:r w:rsidR="001F4CC3" w:rsidRPr="00371494">
        <w:rPr>
          <w:rFonts w:cstheme="minorHAnsi"/>
          <w:b/>
        </w:rPr>
        <w:t>Masoko</w:t>
      </w:r>
      <w:proofErr w:type="spellEnd"/>
    </w:p>
    <w:p w:rsidR="001F4CC3" w:rsidRDefault="001F4CC3" w:rsidP="0054285E">
      <w:pPr>
        <w:tabs>
          <w:tab w:val="right" w:leader="dot" w:pos="8630"/>
        </w:tabs>
        <w:spacing w:after="0"/>
        <w:jc w:val="both"/>
        <w:rPr>
          <w:rFonts w:cstheme="minorHAnsi"/>
        </w:rPr>
      </w:pPr>
      <w:r w:rsidRPr="001F4CC3">
        <w:rPr>
          <w:rFonts w:cstheme="minorHAnsi"/>
        </w:rPr>
        <w:t xml:space="preserve">We also partnered with </w:t>
      </w:r>
      <w:proofErr w:type="spellStart"/>
      <w:r w:rsidRPr="001F4CC3">
        <w:rPr>
          <w:rFonts w:cstheme="minorHAnsi"/>
        </w:rPr>
        <w:t>Masoko</w:t>
      </w:r>
      <w:proofErr w:type="spellEnd"/>
      <w:r w:rsidRPr="001F4CC3">
        <w:rPr>
          <w:rFonts w:cstheme="minorHAnsi"/>
        </w:rPr>
        <w:t>, a marketing agency that implemented a project that promoted youth voter registration and participation through</w:t>
      </w:r>
      <w:r w:rsidR="002F7D31">
        <w:rPr>
          <w:rFonts w:cstheme="minorHAnsi"/>
        </w:rPr>
        <w:t xml:space="preserve"> pop culture in Tanzania. With a USD.</w:t>
      </w:r>
      <w:r w:rsidRPr="001F4CC3">
        <w:rPr>
          <w:rFonts w:cstheme="minorHAnsi"/>
        </w:rPr>
        <w:t>300</w:t>
      </w:r>
      <w:proofErr w:type="gramStart"/>
      <w:r w:rsidRPr="001F4CC3">
        <w:rPr>
          <w:rFonts w:cstheme="minorHAnsi"/>
        </w:rPr>
        <w:t>,000</w:t>
      </w:r>
      <w:proofErr w:type="gramEnd"/>
      <w:r w:rsidRPr="001F4CC3">
        <w:rPr>
          <w:rFonts w:cstheme="minorHAnsi"/>
        </w:rPr>
        <w:t xml:space="preserve"> grant, </w:t>
      </w:r>
      <w:proofErr w:type="spellStart"/>
      <w:r w:rsidR="002F7D31">
        <w:rPr>
          <w:rFonts w:cstheme="minorHAnsi"/>
        </w:rPr>
        <w:t>Masoko</w:t>
      </w:r>
      <w:proofErr w:type="spellEnd"/>
      <w:r w:rsidR="002F7D31">
        <w:rPr>
          <w:rFonts w:cstheme="minorHAnsi"/>
        </w:rPr>
        <w:t xml:space="preserve"> hosted seven</w:t>
      </w:r>
      <w:r w:rsidRPr="001F4CC3">
        <w:rPr>
          <w:rFonts w:cstheme="minorHAnsi"/>
        </w:rPr>
        <w:t xml:space="preserve"> concerts around the country attracting massive participation of youth</w:t>
      </w:r>
      <w:r w:rsidR="002F7D31">
        <w:rPr>
          <w:rFonts w:cstheme="minorHAnsi"/>
        </w:rPr>
        <w:t xml:space="preserve"> in order to</w:t>
      </w:r>
      <w:r w:rsidRPr="001F4CC3">
        <w:rPr>
          <w:rFonts w:cstheme="minorHAnsi"/>
        </w:rPr>
        <w:t xml:space="preserve"> provide civic education towards </w:t>
      </w:r>
      <w:r w:rsidR="00AD08CE">
        <w:rPr>
          <w:rFonts w:cstheme="minorHAnsi"/>
        </w:rPr>
        <w:t>e</w:t>
      </w:r>
      <w:r w:rsidRPr="001F4CC3">
        <w:rPr>
          <w:rFonts w:cstheme="minorHAnsi"/>
        </w:rPr>
        <w:t xml:space="preserve">lection </w:t>
      </w:r>
      <w:r w:rsidR="00AD08CE">
        <w:rPr>
          <w:rFonts w:cstheme="minorHAnsi"/>
        </w:rPr>
        <w:t>d</w:t>
      </w:r>
      <w:r w:rsidRPr="001F4CC3">
        <w:rPr>
          <w:rFonts w:cstheme="minorHAnsi"/>
        </w:rPr>
        <w:t>ay. This was a one-year grant. The campaign message “</w:t>
      </w:r>
      <w:r w:rsidRPr="00AD08CE">
        <w:rPr>
          <w:rFonts w:cstheme="minorHAnsi"/>
          <w:i/>
        </w:rPr>
        <w:t>Kura Dili</w:t>
      </w:r>
      <w:r w:rsidRPr="001F4CC3">
        <w:rPr>
          <w:rFonts w:cstheme="minorHAnsi"/>
        </w:rPr>
        <w:t>” literally meaning “Your Vote Matters” became popular through the use of social media and popular artists in the country.</w:t>
      </w:r>
      <w:r w:rsidR="00D64FF9">
        <w:rPr>
          <w:rFonts w:cstheme="minorHAnsi"/>
        </w:rPr>
        <w:t xml:space="preserve"> </w:t>
      </w:r>
      <w:r w:rsidR="003B515C">
        <w:rPr>
          <w:rFonts w:cstheme="minorHAnsi"/>
        </w:rPr>
        <w:t>NEC partnered</w:t>
      </w:r>
      <w:r w:rsidR="00D64FF9">
        <w:rPr>
          <w:rFonts w:cstheme="minorHAnsi"/>
        </w:rPr>
        <w:t xml:space="preserve"> with </w:t>
      </w:r>
      <w:proofErr w:type="spellStart"/>
      <w:r w:rsidR="00D64FF9">
        <w:rPr>
          <w:rFonts w:cstheme="minorHAnsi"/>
        </w:rPr>
        <w:t>Masoko</w:t>
      </w:r>
      <w:proofErr w:type="spellEnd"/>
      <w:r w:rsidR="00D64FF9">
        <w:rPr>
          <w:rFonts w:cstheme="minorHAnsi"/>
        </w:rPr>
        <w:t xml:space="preserve"> and sent their officers for </w:t>
      </w:r>
      <w:r w:rsidR="00AD08CE">
        <w:rPr>
          <w:rFonts w:cstheme="minorHAnsi"/>
        </w:rPr>
        <w:t>voter e</w:t>
      </w:r>
      <w:r w:rsidR="00D64FF9">
        <w:rPr>
          <w:rFonts w:cstheme="minorHAnsi"/>
        </w:rPr>
        <w:t xml:space="preserve">ducation in some of the concerts and group meetings. </w:t>
      </w:r>
    </w:p>
    <w:p w:rsidR="00AD08CE" w:rsidRPr="001F4CC3" w:rsidRDefault="00AD08CE" w:rsidP="0054285E">
      <w:pPr>
        <w:tabs>
          <w:tab w:val="right" w:leader="dot" w:pos="8630"/>
        </w:tabs>
        <w:spacing w:after="0"/>
        <w:jc w:val="both"/>
        <w:rPr>
          <w:rFonts w:cstheme="minorHAnsi"/>
        </w:rPr>
      </w:pPr>
    </w:p>
    <w:p w:rsidR="001F4CC3" w:rsidRPr="00371494" w:rsidRDefault="00B77D9A" w:rsidP="0054285E">
      <w:pPr>
        <w:tabs>
          <w:tab w:val="right" w:leader="dot" w:pos="8630"/>
        </w:tabs>
        <w:spacing w:after="0"/>
        <w:jc w:val="both"/>
        <w:rPr>
          <w:rFonts w:cstheme="minorHAnsi"/>
          <w:b/>
        </w:rPr>
      </w:pPr>
      <w:r w:rsidRPr="00371494">
        <w:rPr>
          <w:rFonts w:cstheme="minorHAnsi"/>
          <w:b/>
        </w:rPr>
        <w:t>4.</w:t>
      </w:r>
      <w:r w:rsidR="00DE2224" w:rsidRPr="00371494">
        <w:rPr>
          <w:rFonts w:cstheme="minorHAnsi"/>
          <w:b/>
        </w:rPr>
        <w:t xml:space="preserve"> </w:t>
      </w:r>
      <w:r w:rsidR="001F4CC3" w:rsidRPr="00371494">
        <w:rPr>
          <w:rFonts w:cstheme="minorHAnsi"/>
          <w:b/>
        </w:rPr>
        <w:t>Innovative Development (</w:t>
      </w:r>
      <w:proofErr w:type="spellStart"/>
      <w:r w:rsidR="001F4CC3" w:rsidRPr="00371494">
        <w:rPr>
          <w:rFonts w:cstheme="minorHAnsi"/>
          <w:b/>
        </w:rPr>
        <w:t>iDev</w:t>
      </w:r>
      <w:proofErr w:type="spellEnd"/>
      <w:r w:rsidR="001F4CC3" w:rsidRPr="00371494">
        <w:rPr>
          <w:rFonts w:cstheme="minorHAnsi"/>
          <w:b/>
        </w:rPr>
        <w:t>) Tanzania Ltd</w:t>
      </w:r>
    </w:p>
    <w:p w:rsidR="00E20580" w:rsidRDefault="0067124F" w:rsidP="0054285E">
      <w:pPr>
        <w:tabs>
          <w:tab w:val="right" w:leader="dot" w:pos="8630"/>
        </w:tabs>
        <w:spacing w:after="0"/>
        <w:jc w:val="both"/>
        <w:rPr>
          <w:rFonts w:cstheme="minorHAnsi"/>
        </w:rPr>
      </w:pPr>
      <w:r>
        <w:rPr>
          <w:rFonts w:cstheme="minorHAnsi"/>
        </w:rPr>
        <w:t xml:space="preserve">OSIEA </w:t>
      </w:r>
      <w:r w:rsidR="001F4CC3" w:rsidRPr="001F4CC3">
        <w:rPr>
          <w:rFonts w:cstheme="minorHAnsi"/>
        </w:rPr>
        <w:t>supported a youth-led company, Innovative Develo</w:t>
      </w:r>
      <w:r>
        <w:rPr>
          <w:rFonts w:cstheme="minorHAnsi"/>
        </w:rPr>
        <w:t>pment (</w:t>
      </w:r>
      <w:proofErr w:type="spellStart"/>
      <w:r>
        <w:rPr>
          <w:rFonts w:cstheme="minorHAnsi"/>
        </w:rPr>
        <w:t>iDev</w:t>
      </w:r>
      <w:proofErr w:type="spellEnd"/>
      <w:r>
        <w:rPr>
          <w:rFonts w:cstheme="minorHAnsi"/>
        </w:rPr>
        <w:t>) Tanzania Ltd with a USD.</w:t>
      </w:r>
      <w:r w:rsidR="001F4CC3" w:rsidRPr="001F4CC3">
        <w:rPr>
          <w:rFonts w:cstheme="minorHAnsi"/>
        </w:rPr>
        <w:t>170</w:t>
      </w:r>
      <w:proofErr w:type="gramStart"/>
      <w:r w:rsidR="001F4CC3" w:rsidRPr="001F4CC3">
        <w:rPr>
          <w:rFonts w:cstheme="minorHAnsi"/>
        </w:rPr>
        <w:t>,000</w:t>
      </w:r>
      <w:proofErr w:type="gramEnd"/>
      <w:r w:rsidR="001F4CC3" w:rsidRPr="001F4CC3">
        <w:rPr>
          <w:rFonts w:cstheme="minorHAnsi"/>
        </w:rPr>
        <w:t xml:space="preserve"> grant to create animated political satire for civic and voter education towards</w:t>
      </w:r>
      <w:r w:rsidR="00AD08CE">
        <w:rPr>
          <w:rFonts w:cstheme="minorHAnsi"/>
        </w:rPr>
        <w:t xml:space="preserve"> the 2015 n</w:t>
      </w:r>
      <w:r w:rsidR="001F4CC3" w:rsidRPr="001F4CC3">
        <w:rPr>
          <w:rFonts w:cstheme="minorHAnsi"/>
        </w:rPr>
        <w:t>ati</w:t>
      </w:r>
      <w:r w:rsidR="00AD08CE">
        <w:rPr>
          <w:rFonts w:cstheme="minorHAnsi"/>
        </w:rPr>
        <w:t>onal g</w:t>
      </w:r>
      <w:r w:rsidR="001F4CC3" w:rsidRPr="001F4CC3">
        <w:rPr>
          <w:rFonts w:cstheme="minorHAnsi"/>
        </w:rPr>
        <w:t xml:space="preserve">eneral </w:t>
      </w:r>
      <w:r w:rsidR="00AD08CE">
        <w:rPr>
          <w:rFonts w:cstheme="minorHAnsi"/>
        </w:rPr>
        <w:t>e</w:t>
      </w:r>
      <w:r w:rsidR="001F4CC3" w:rsidRPr="001F4CC3">
        <w:rPr>
          <w:rFonts w:cstheme="minorHAnsi"/>
        </w:rPr>
        <w:t>lections</w:t>
      </w:r>
      <w:r w:rsidR="00AD08CE">
        <w:rPr>
          <w:rFonts w:cstheme="minorHAnsi"/>
        </w:rPr>
        <w:t xml:space="preserve"> </w:t>
      </w:r>
      <w:r w:rsidR="001F4CC3" w:rsidRPr="001F4CC3">
        <w:rPr>
          <w:rFonts w:cstheme="minorHAnsi"/>
        </w:rPr>
        <w:t>between April 2015 a</w:t>
      </w:r>
      <w:r w:rsidR="00AD08CE">
        <w:rPr>
          <w:rFonts w:cstheme="minorHAnsi"/>
        </w:rPr>
        <w:t xml:space="preserve">nd March 2016. Founded in 2013, </w:t>
      </w:r>
      <w:proofErr w:type="spellStart"/>
      <w:r w:rsidR="001F4CC3" w:rsidRPr="001F4CC3">
        <w:rPr>
          <w:rFonts w:cstheme="minorHAnsi"/>
        </w:rPr>
        <w:t>iDev</w:t>
      </w:r>
      <w:proofErr w:type="spellEnd"/>
      <w:r w:rsidR="001F4CC3" w:rsidRPr="001F4CC3">
        <w:rPr>
          <w:rFonts w:cstheme="minorHAnsi"/>
        </w:rPr>
        <w:t xml:space="preserve"> is a </w:t>
      </w:r>
      <w:r w:rsidRPr="001F4CC3">
        <w:rPr>
          <w:rFonts w:cstheme="minorHAnsi"/>
        </w:rPr>
        <w:t>start-up</w:t>
      </w:r>
      <w:r w:rsidR="001F4CC3" w:rsidRPr="001F4CC3">
        <w:rPr>
          <w:rFonts w:cstheme="minorHAnsi"/>
        </w:rPr>
        <w:t xml:space="preserve"> that produces multimedia and web based products that stir public debate towards issues of public importance. The satire seri</w:t>
      </w:r>
      <w:r w:rsidR="00AD08CE">
        <w:rPr>
          <w:rFonts w:cstheme="minorHAnsi"/>
        </w:rPr>
        <w:t>es (39 episodes) was</w:t>
      </w:r>
      <w:r w:rsidR="001F4CC3" w:rsidRPr="001F4CC3">
        <w:rPr>
          <w:rFonts w:cstheme="minorHAnsi"/>
        </w:rPr>
        <w:t xml:space="preserve"> intended to provoke public interest and debate towards key governance issues towards the national general elections in Tanzania.</w:t>
      </w:r>
      <w:r w:rsidR="00E43C93">
        <w:rPr>
          <w:rFonts w:cstheme="minorHAnsi"/>
        </w:rPr>
        <w:t xml:space="preserve"> Innovatively and very creat</w:t>
      </w:r>
      <w:r>
        <w:rPr>
          <w:rFonts w:cstheme="minorHAnsi"/>
        </w:rPr>
        <w:t xml:space="preserve">ively, </w:t>
      </w:r>
      <w:proofErr w:type="spellStart"/>
      <w:r>
        <w:rPr>
          <w:rFonts w:cstheme="minorHAnsi"/>
        </w:rPr>
        <w:t>iDEV</w:t>
      </w:r>
      <w:proofErr w:type="spellEnd"/>
      <w:r>
        <w:rPr>
          <w:rFonts w:cstheme="minorHAnsi"/>
        </w:rPr>
        <w:t xml:space="preserve"> managed to create </w:t>
      </w:r>
      <w:r w:rsidR="00E43C93">
        <w:rPr>
          <w:rFonts w:cstheme="minorHAnsi"/>
        </w:rPr>
        <w:t>social media interaction</w:t>
      </w:r>
      <w:r w:rsidR="00AD08CE">
        <w:rPr>
          <w:rFonts w:cstheme="minorHAnsi"/>
        </w:rPr>
        <w:t>s</w:t>
      </w:r>
      <w:r w:rsidR="00E43C93">
        <w:rPr>
          <w:rFonts w:cstheme="minorHAnsi"/>
        </w:rPr>
        <w:t xml:space="preserve"> between their followers and the characters of their show in brainstorming governance issues and the role of young people in the elections. They currently have over 80,000 followers on social media and an estimated viewership of </w:t>
      </w:r>
      <w:r>
        <w:rPr>
          <w:rFonts w:cstheme="minorHAnsi"/>
        </w:rPr>
        <w:t>about 5</w:t>
      </w:r>
      <w:r w:rsidR="0036792C">
        <w:rPr>
          <w:rFonts w:cstheme="minorHAnsi"/>
        </w:rPr>
        <w:t xml:space="preserve"> </w:t>
      </w:r>
      <w:r>
        <w:rPr>
          <w:rFonts w:cstheme="minorHAnsi"/>
        </w:rPr>
        <w:t>million</w:t>
      </w:r>
      <w:r w:rsidR="00E43C93">
        <w:rPr>
          <w:rFonts w:cstheme="minorHAnsi"/>
        </w:rPr>
        <w:t xml:space="preserve"> people. </w:t>
      </w:r>
      <w:r w:rsidR="00AF7AB0">
        <w:rPr>
          <w:rFonts w:cstheme="minorHAnsi"/>
        </w:rPr>
        <w:t>They are now looking at going commercial with some of their work to ensure the</w:t>
      </w:r>
      <w:r w:rsidR="00AD08CE">
        <w:rPr>
          <w:rFonts w:cstheme="minorHAnsi"/>
        </w:rPr>
        <w:t>ir sustainability as the organiz</w:t>
      </w:r>
      <w:r w:rsidR="00AF7AB0">
        <w:rPr>
          <w:rFonts w:cstheme="minorHAnsi"/>
        </w:rPr>
        <w:t xml:space="preserve">ation is growing and employing more creative youth. We are looking at supporting them this year in a project that aims at holding leaders accountable to their electoral promises, including the president and members of parliament. </w:t>
      </w:r>
    </w:p>
    <w:p w:rsidR="00AD08CE" w:rsidRDefault="00AD08CE" w:rsidP="0054285E">
      <w:pPr>
        <w:tabs>
          <w:tab w:val="right" w:leader="dot" w:pos="8630"/>
        </w:tabs>
        <w:spacing w:after="0"/>
        <w:jc w:val="both"/>
        <w:rPr>
          <w:rFonts w:cstheme="minorHAnsi"/>
          <w:sz w:val="24"/>
          <w:szCs w:val="24"/>
        </w:rPr>
      </w:pPr>
    </w:p>
    <w:p w:rsidR="001F4CC3" w:rsidRPr="00E20580" w:rsidRDefault="00B77D9A" w:rsidP="0054285E">
      <w:pPr>
        <w:tabs>
          <w:tab w:val="right" w:leader="dot" w:pos="8630"/>
        </w:tabs>
        <w:spacing w:after="0"/>
        <w:jc w:val="both"/>
        <w:rPr>
          <w:rFonts w:cstheme="minorHAnsi"/>
          <w:sz w:val="24"/>
          <w:szCs w:val="24"/>
        </w:rPr>
      </w:pPr>
      <w:r w:rsidRPr="00371494">
        <w:rPr>
          <w:rFonts w:cstheme="minorHAnsi"/>
          <w:b/>
        </w:rPr>
        <w:t>5.</w:t>
      </w:r>
      <w:r w:rsidR="00B42576" w:rsidRPr="00371494">
        <w:rPr>
          <w:rFonts w:cstheme="minorHAnsi"/>
          <w:b/>
        </w:rPr>
        <w:t xml:space="preserve"> </w:t>
      </w:r>
      <w:r w:rsidR="001F4CC3" w:rsidRPr="00371494">
        <w:rPr>
          <w:rFonts w:cstheme="minorHAnsi"/>
          <w:b/>
        </w:rPr>
        <w:t>Tanzania Youth Vision Association (TYVA)</w:t>
      </w:r>
    </w:p>
    <w:p w:rsidR="001F4CC3" w:rsidRDefault="001F4CC3" w:rsidP="0054285E">
      <w:pPr>
        <w:tabs>
          <w:tab w:val="right" w:leader="dot" w:pos="8630"/>
        </w:tabs>
        <w:spacing w:after="0"/>
        <w:jc w:val="both"/>
        <w:rPr>
          <w:rFonts w:cstheme="minorHAnsi"/>
        </w:rPr>
      </w:pPr>
      <w:r w:rsidRPr="001F4CC3">
        <w:rPr>
          <w:rFonts w:cstheme="minorHAnsi"/>
        </w:rPr>
        <w:t xml:space="preserve">Another youth-led NGO we supported in 2015 was the Tanzania </w:t>
      </w:r>
      <w:r w:rsidR="009F59E5">
        <w:rPr>
          <w:rFonts w:cstheme="minorHAnsi"/>
        </w:rPr>
        <w:t>Youth Vision Association (TYVA). W</w:t>
      </w:r>
      <w:r w:rsidRPr="001F4CC3">
        <w:rPr>
          <w:rFonts w:cstheme="minorHAnsi"/>
        </w:rPr>
        <w:t>e supported TYVA to conduct a youth dialogue in Zanzibar before the election, and a post-electoral youth conference in Dodoma with</w:t>
      </w:r>
      <w:r w:rsidR="00AD08CE">
        <w:rPr>
          <w:rFonts w:cstheme="minorHAnsi"/>
        </w:rPr>
        <w:t xml:space="preserve"> a</w:t>
      </w:r>
      <w:r w:rsidRPr="001F4CC3">
        <w:rPr>
          <w:rFonts w:cstheme="minorHAnsi"/>
        </w:rPr>
        <w:t xml:space="preserve"> parallel social media campaign</w:t>
      </w:r>
      <w:r w:rsidR="009F59E5">
        <w:rPr>
          <w:rFonts w:cstheme="minorHAnsi"/>
        </w:rPr>
        <w:t xml:space="preserve"> to advocate for peaceful youth engagement in the process</w:t>
      </w:r>
      <w:r w:rsidRPr="001F4CC3">
        <w:rPr>
          <w:rFonts w:cstheme="minorHAnsi"/>
        </w:rPr>
        <w:t xml:space="preserve">. TYVA held two meetings </w:t>
      </w:r>
      <w:r w:rsidR="0067775B">
        <w:rPr>
          <w:rFonts w:cstheme="minorHAnsi"/>
        </w:rPr>
        <w:t>reaching</w:t>
      </w:r>
      <w:r w:rsidRPr="001F4CC3">
        <w:rPr>
          <w:rFonts w:cstheme="minorHAnsi"/>
        </w:rPr>
        <w:t xml:space="preserve"> about 20 youth-led organizations and ran </w:t>
      </w:r>
      <w:r w:rsidR="0067775B">
        <w:rPr>
          <w:rFonts w:cstheme="minorHAnsi"/>
        </w:rPr>
        <w:t>a</w:t>
      </w:r>
      <w:r w:rsidRPr="001F4CC3">
        <w:rPr>
          <w:rFonts w:cstheme="minorHAnsi"/>
        </w:rPr>
        <w:t xml:space="preserve"> social media campaign reaching about 25,000 youths</w:t>
      </w:r>
      <w:r w:rsidR="009F59E5">
        <w:rPr>
          <w:rFonts w:cstheme="minorHAnsi"/>
        </w:rPr>
        <w:t xml:space="preserve"> across </w:t>
      </w:r>
      <w:r w:rsidR="0067775B">
        <w:rPr>
          <w:rFonts w:cstheme="minorHAnsi"/>
        </w:rPr>
        <w:t>Tanzania with a grant USD.</w:t>
      </w:r>
      <w:r w:rsidR="009F59E5">
        <w:rPr>
          <w:rFonts w:cstheme="minorHAnsi"/>
        </w:rPr>
        <w:t>10</w:t>
      </w:r>
      <w:proofErr w:type="gramStart"/>
      <w:r w:rsidR="0067775B">
        <w:rPr>
          <w:rFonts w:cstheme="minorHAnsi"/>
        </w:rPr>
        <w:t>,000</w:t>
      </w:r>
      <w:proofErr w:type="gramEnd"/>
      <w:r w:rsidR="009F59E5">
        <w:rPr>
          <w:rFonts w:cstheme="minorHAnsi"/>
        </w:rPr>
        <w:t xml:space="preserve">, </w:t>
      </w:r>
      <w:r w:rsidRPr="001F4CC3">
        <w:rPr>
          <w:rFonts w:cstheme="minorHAnsi"/>
        </w:rPr>
        <w:t xml:space="preserve">demonstrating </w:t>
      </w:r>
      <w:r w:rsidR="0067775B">
        <w:rPr>
          <w:rFonts w:cstheme="minorHAnsi"/>
        </w:rPr>
        <w:t xml:space="preserve">the </w:t>
      </w:r>
      <w:r w:rsidRPr="001F4CC3">
        <w:rPr>
          <w:rFonts w:cstheme="minorHAnsi"/>
        </w:rPr>
        <w:t>impact that micro grants can cause</w:t>
      </w:r>
      <w:r w:rsidR="00AD08CE">
        <w:rPr>
          <w:rFonts w:cstheme="minorHAnsi"/>
        </w:rPr>
        <w:t xml:space="preserve"> and the</w:t>
      </w:r>
      <w:r w:rsidR="009F59E5">
        <w:rPr>
          <w:rFonts w:cstheme="minorHAnsi"/>
        </w:rPr>
        <w:t xml:space="preserve"> need to strategize for more of such</w:t>
      </w:r>
      <w:r w:rsidRPr="001F4CC3">
        <w:rPr>
          <w:rFonts w:cstheme="minorHAnsi"/>
        </w:rPr>
        <w:t>.</w:t>
      </w:r>
      <w:r w:rsidR="00D457B2">
        <w:rPr>
          <w:rFonts w:cstheme="minorHAnsi"/>
        </w:rPr>
        <w:t xml:space="preserve"> Representatives from NEC, </w:t>
      </w:r>
      <w:r w:rsidR="00AD08CE">
        <w:rPr>
          <w:rFonts w:cstheme="minorHAnsi"/>
        </w:rPr>
        <w:t>the p</w:t>
      </w:r>
      <w:r w:rsidR="00D457B2">
        <w:rPr>
          <w:rFonts w:cstheme="minorHAnsi"/>
        </w:rPr>
        <w:t xml:space="preserve">olice force, </w:t>
      </w:r>
      <w:r w:rsidR="00AD08CE">
        <w:rPr>
          <w:rFonts w:cstheme="minorHAnsi"/>
        </w:rPr>
        <w:t>m</w:t>
      </w:r>
      <w:r w:rsidR="00D457B2">
        <w:rPr>
          <w:rFonts w:cstheme="minorHAnsi"/>
        </w:rPr>
        <w:t>unicipal council</w:t>
      </w:r>
      <w:r w:rsidR="00EA584C">
        <w:rPr>
          <w:rFonts w:cstheme="minorHAnsi"/>
        </w:rPr>
        <w:t>, young MPs</w:t>
      </w:r>
      <w:r w:rsidR="00D457B2">
        <w:rPr>
          <w:rFonts w:cstheme="minorHAnsi"/>
        </w:rPr>
        <w:t xml:space="preserve"> and other youth focused organisations like Restless</w:t>
      </w:r>
      <w:r w:rsidR="00EA584C">
        <w:rPr>
          <w:rFonts w:cstheme="minorHAnsi"/>
        </w:rPr>
        <w:t xml:space="preserve"> Development</w:t>
      </w:r>
      <w:r w:rsidR="00D457B2">
        <w:rPr>
          <w:rFonts w:cstheme="minorHAnsi"/>
        </w:rPr>
        <w:t xml:space="preserve"> made presentations during the meeting</w:t>
      </w:r>
      <w:r w:rsidR="0067775B">
        <w:rPr>
          <w:rFonts w:cstheme="minorHAnsi"/>
        </w:rPr>
        <w:t>s</w:t>
      </w:r>
      <w:r w:rsidR="00D457B2">
        <w:rPr>
          <w:rFonts w:cstheme="minorHAnsi"/>
        </w:rPr>
        <w:t xml:space="preserve">. </w:t>
      </w:r>
      <w:r w:rsidR="0067775B">
        <w:rPr>
          <w:rFonts w:cstheme="minorHAnsi"/>
        </w:rPr>
        <w:t>A</w:t>
      </w:r>
      <w:r w:rsidR="00AD08CE">
        <w:rPr>
          <w:rFonts w:cstheme="minorHAnsi"/>
        </w:rPr>
        <w:t>n a</w:t>
      </w:r>
      <w:r w:rsidR="0067775B">
        <w:rPr>
          <w:rFonts w:cstheme="minorHAnsi"/>
        </w:rPr>
        <w:t>greement was reached to enact</w:t>
      </w:r>
      <w:r w:rsidR="00564F55">
        <w:rPr>
          <w:rFonts w:cstheme="minorHAnsi"/>
        </w:rPr>
        <w:t xml:space="preserve"> a youth</w:t>
      </w:r>
      <w:r w:rsidR="002D335B">
        <w:rPr>
          <w:rFonts w:cstheme="minorHAnsi"/>
        </w:rPr>
        <w:t xml:space="preserve"> manifesto</w:t>
      </w:r>
      <w:r w:rsidR="00AD08CE">
        <w:rPr>
          <w:rFonts w:cstheme="minorHAnsi"/>
        </w:rPr>
        <w:t xml:space="preserve"> that would address most</w:t>
      </w:r>
      <w:r w:rsidR="00A41D1A">
        <w:rPr>
          <w:rFonts w:cstheme="minorHAnsi"/>
        </w:rPr>
        <w:t xml:space="preserve"> youth issues, and </w:t>
      </w:r>
      <w:r w:rsidR="0067775B">
        <w:rPr>
          <w:rFonts w:cstheme="minorHAnsi"/>
        </w:rPr>
        <w:t xml:space="preserve">also </w:t>
      </w:r>
      <w:r w:rsidR="00A41D1A">
        <w:rPr>
          <w:rFonts w:cstheme="minorHAnsi"/>
        </w:rPr>
        <w:t xml:space="preserve">create an agreement with law enforcers </w:t>
      </w:r>
      <w:r w:rsidR="0067775B">
        <w:rPr>
          <w:rFonts w:cstheme="minorHAnsi"/>
        </w:rPr>
        <w:t xml:space="preserve">to ensure </w:t>
      </w:r>
      <w:r w:rsidR="00A41D1A">
        <w:rPr>
          <w:rFonts w:cstheme="minorHAnsi"/>
        </w:rPr>
        <w:t xml:space="preserve">continued </w:t>
      </w:r>
      <w:r w:rsidR="0067775B">
        <w:rPr>
          <w:rFonts w:cstheme="minorHAnsi"/>
        </w:rPr>
        <w:t>collaboration</w:t>
      </w:r>
      <w:r w:rsidR="00A41D1A">
        <w:rPr>
          <w:rFonts w:cstheme="minorHAnsi"/>
        </w:rPr>
        <w:t xml:space="preserve">. </w:t>
      </w:r>
    </w:p>
    <w:p w:rsidR="00AD08CE" w:rsidRPr="00A4710C" w:rsidRDefault="00AD08CE" w:rsidP="0054285E">
      <w:pPr>
        <w:tabs>
          <w:tab w:val="right" w:leader="dot" w:pos="8630"/>
        </w:tabs>
        <w:spacing w:after="0"/>
        <w:jc w:val="both"/>
        <w:rPr>
          <w:rFonts w:cstheme="minorHAnsi"/>
        </w:rPr>
      </w:pPr>
    </w:p>
    <w:p w:rsidR="001F4CC3" w:rsidRPr="000C46FD" w:rsidRDefault="001F4CC3" w:rsidP="0054285E">
      <w:pPr>
        <w:shd w:val="clear" w:color="auto" w:fill="17365D" w:themeFill="text2" w:themeFillShade="BF"/>
        <w:tabs>
          <w:tab w:val="right" w:leader="dot" w:pos="8630"/>
        </w:tabs>
        <w:spacing w:after="0"/>
        <w:jc w:val="both"/>
        <w:rPr>
          <w:rFonts w:ascii="Garamond" w:hAnsi="Garamond" w:cstheme="minorHAnsi"/>
          <w:b/>
        </w:rPr>
      </w:pPr>
      <w:r w:rsidRPr="000C46FD">
        <w:rPr>
          <w:rFonts w:ascii="Garamond" w:hAnsi="Garamond" w:cstheme="minorHAnsi"/>
          <w:b/>
        </w:rPr>
        <w:lastRenderedPageBreak/>
        <w:t>WHAT WE HAVE LEARNED</w:t>
      </w:r>
    </w:p>
    <w:p w:rsidR="00FE5F4F" w:rsidRDefault="00AD255C" w:rsidP="00711726">
      <w:pPr>
        <w:pStyle w:val="ListParagraph"/>
        <w:numPr>
          <w:ilvl w:val="1"/>
          <w:numId w:val="3"/>
        </w:numPr>
        <w:spacing w:after="0"/>
        <w:jc w:val="both"/>
        <w:rPr>
          <w:rFonts w:cstheme="minorHAnsi"/>
        </w:rPr>
      </w:pPr>
      <w:r w:rsidRPr="00711726">
        <w:rPr>
          <w:rFonts w:cstheme="minorHAnsi"/>
        </w:rPr>
        <w:t xml:space="preserve">Our engagement in </w:t>
      </w:r>
      <w:r w:rsidR="00FE5F4F" w:rsidRPr="00711726">
        <w:rPr>
          <w:rFonts w:cstheme="minorHAnsi"/>
        </w:rPr>
        <w:t>electoral processes, regardless of undesirable outcomes</w:t>
      </w:r>
      <w:r w:rsidR="00C83824" w:rsidRPr="00711726">
        <w:rPr>
          <w:rFonts w:cstheme="minorHAnsi"/>
        </w:rPr>
        <w:t>/disappointments</w:t>
      </w:r>
      <w:r w:rsidR="00FE5F4F" w:rsidRPr="00711726">
        <w:rPr>
          <w:rFonts w:cstheme="minorHAnsi"/>
        </w:rPr>
        <w:t xml:space="preserve">, is inevitable. This is probably the biggest lesson for the program. </w:t>
      </w:r>
      <w:r w:rsidR="00C83824" w:rsidRPr="00711726">
        <w:rPr>
          <w:rFonts w:cstheme="minorHAnsi"/>
        </w:rPr>
        <w:t>The role that our support played in influencin</w:t>
      </w:r>
      <w:r w:rsidR="00961D08" w:rsidRPr="00711726">
        <w:rPr>
          <w:rFonts w:cstheme="minorHAnsi"/>
        </w:rPr>
        <w:t>g t</w:t>
      </w:r>
      <w:r w:rsidR="00CE01A4" w:rsidRPr="00711726">
        <w:rPr>
          <w:rFonts w:cstheme="minorHAnsi"/>
        </w:rPr>
        <w:t>he process, albeit</w:t>
      </w:r>
      <w:r w:rsidR="00961D08" w:rsidRPr="00711726">
        <w:rPr>
          <w:rFonts w:cstheme="minorHAnsi"/>
        </w:rPr>
        <w:t xml:space="preserve"> minimal, wa</w:t>
      </w:r>
      <w:r w:rsidR="00C83824" w:rsidRPr="00711726">
        <w:rPr>
          <w:rFonts w:cstheme="minorHAnsi"/>
        </w:rPr>
        <w:t>s very significant.</w:t>
      </w:r>
      <w:r w:rsidRPr="00711726">
        <w:rPr>
          <w:rFonts w:cstheme="minorHAnsi"/>
        </w:rPr>
        <w:t xml:space="preserve"> As </w:t>
      </w:r>
      <w:r w:rsidR="00CE01A4" w:rsidRPr="00711726">
        <w:rPr>
          <w:rFonts w:cstheme="minorHAnsi"/>
        </w:rPr>
        <w:t>fundin</w:t>
      </w:r>
      <w:r w:rsidRPr="00711726">
        <w:rPr>
          <w:rFonts w:cstheme="minorHAnsi"/>
        </w:rPr>
        <w:t xml:space="preserve">g to CSOs </w:t>
      </w:r>
      <w:r w:rsidR="00711726">
        <w:rPr>
          <w:rFonts w:cstheme="minorHAnsi"/>
        </w:rPr>
        <w:t xml:space="preserve">for electoral processes </w:t>
      </w:r>
      <w:r w:rsidRPr="00711726">
        <w:rPr>
          <w:rFonts w:cstheme="minorHAnsi"/>
        </w:rPr>
        <w:t xml:space="preserve">by </w:t>
      </w:r>
      <w:r w:rsidR="00CE01A4" w:rsidRPr="00711726">
        <w:rPr>
          <w:rFonts w:cstheme="minorHAnsi"/>
        </w:rPr>
        <w:t>traditional donors continues to dwindle, it</w:t>
      </w:r>
      <w:r w:rsidR="0013125D" w:rsidRPr="00711726">
        <w:rPr>
          <w:rFonts w:cstheme="minorHAnsi"/>
        </w:rPr>
        <w:t xml:space="preserve"> i</w:t>
      </w:r>
      <w:r w:rsidR="00CE01A4" w:rsidRPr="00711726">
        <w:rPr>
          <w:rFonts w:cstheme="minorHAnsi"/>
        </w:rPr>
        <w:t xml:space="preserve">s donors like OSIEA who think out of the </w:t>
      </w:r>
      <w:r w:rsidR="00DC31FA" w:rsidRPr="00711726">
        <w:rPr>
          <w:rFonts w:cstheme="minorHAnsi"/>
        </w:rPr>
        <w:t>box</w:t>
      </w:r>
      <w:r w:rsidR="004804DB" w:rsidRPr="00711726">
        <w:rPr>
          <w:rFonts w:cstheme="minorHAnsi"/>
        </w:rPr>
        <w:t xml:space="preserve"> and are largely focused on </w:t>
      </w:r>
      <w:r w:rsidR="00B0624F" w:rsidRPr="00711726">
        <w:rPr>
          <w:rFonts w:cstheme="minorHAnsi"/>
        </w:rPr>
        <w:t>CSOs that</w:t>
      </w:r>
      <w:r w:rsidR="0013125D" w:rsidRPr="00711726">
        <w:rPr>
          <w:rFonts w:cstheme="minorHAnsi"/>
        </w:rPr>
        <w:t xml:space="preserve"> </w:t>
      </w:r>
      <w:r w:rsidR="00CE01A4" w:rsidRPr="00711726">
        <w:rPr>
          <w:rFonts w:cstheme="minorHAnsi"/>
        </w:rPr>
        <w:t xml:space="preserve">continue to enable </w:t>
      </w:r>
      <w:r w:rsidR="00711726">
        <w:rPr>
          <w:rFonts w:cstheme="minorHAnsi"/>
        </w:rPr>
        <w:t xml:space="preserve">them </w:t>
      </w:r>
      <w:r w:rsidR="00CE01A4" w:rsidRPr="00711726">
        <w:rPr>
          <w:rFonts w:cstheme="minorHAnsi"/>
        </w:rPr>
        <w:t>to engage the public</w:t>
      </w:r>
      <w:r w:rsidRPr="00711726">
        <w:rPr>
          <w:rFonts w:cstheme="minorHAnsi"/>
        </w:rPr>
        <w:t>.</w:t>
      </w:r>
    </w:p>
    <w:p w:rsidR="00711726" w:rsidRDefault="00711726" w:rsidP="00711726">
      <w:pPr>
        <w:pStyle w:val="ListParagraph"/>
        <w:spacing w:after="0"/>
        <w:ind w:left="360"/>
        <w:jc w:val="both"/>
        <w:rPr>
          <w:rFonts w:cstheme="minorHAnsi"/>
        </w:rPr>
      </w:pPr>
    </w:p>
    <w:p w:rsidR="00A464E5" w:rsidRDefault="005D2C07" w:rsidP="00711726">
      <w:pPr>
        <w:pStyle w:val="ListParagraph"/>
        <w:numPr>
          <w:ilvl w:val="1"/>
          <w:numId w:val="3"/>
        </w:numPr>
        <w:spacing w:after="0"/>
        <w:jc w:val="both"/>
        <w:rPr>
          <w:rFonts w:cstheme="minorHAnsi"/>
        </w:rPr>
      </w:pPr>
      <w:r w:rsidRPr="00711726">
        <w:rPr>
          <w:rFonts w:cstheme="minorHAnsi"/>
        </w:rPr>
        <w:t>Long term investment in electoral processes as a cycle rather than a short term activity is critical in influencing true reform that will ensure free and credible elections</w:t>
      </w:r>
      <w:r w:rsidR="004804DB" w:rsidRPr="00711726">
        <w:rPr>
          <w:rFonts w:cstheme="minorHAnsi"/>
        </w:rPr>
        <w:t xml:space="preserve"> in future</w:t>
      </w:r>
      <w:r w:rsidRPr="00711726">
        <w:rPr>
          <w:rFonts w:cstheme="minorHAnsi"/>
        </w:rPr>
        <w:t xml:space="preserve">. </w:t>
      </w:r>
      <w:r w:rsidR="00005F6B" w:rsidRPr="00711726">
        <w:rPr>
          <w:rFonts w:cstheme="minorHAnsi"/>
        </w:rPr>
        <w:t>Many laws</w:t>
      </w:r>
      <w:r w:rsidR="00E20580" w:rsidRPr="00711726">
        <w:rPr>
          <w:rFonts w:cstheme="minorHAnsi"/>
        </w:rPr>
        <w:t>, including electoral laws need major reform</w:t>
      </w:r>
      <w:r w:rsidR="00005F6B" w:rsidRPr="00711726">
        <w:rPr>
          <w:rFonts w:cstheme="minorHAnsi"/>
        </w:rPr>
        <w:t xml:space="preserve"> and this can only be achieved through long term and properly strategized advocacy. </w:t>
      </w:r>
    </w:p>
    <w:p w:rsidR="00711726" w:rsidRPr="00711726" w:rsidRDefault="00711726" w:rsidP="00711726">
      <w:pPr>
        <w:spacing w:after="0"/>
        <w:jc w:val="both"/>
        <w:rPr>
          <w:rFonts w:cstheme="minorHAnsi"/>
        </w:rPr>
      </w:pPr>
    </w:p>
    <w:p w:rsidR="00A464E5" w:rsidRDefault="00597524" w:rsidP="00711726">
      <w:pPr>
        <w:pStyle w:val="ListParagraph"/>
        <w:numPr>
          <w:ilvl w:val="1"/>
          <w:numId w:val="3"/>
        </w:numPr>
        <w:spacing w:after="0"/>
        <w:jc w:val="both"/>
        <w:rPr>
          <w:rFonts w:cstheme="minorHAnsi"/>
        </w:rPr>
      </w:pPr>
      <w:r w:rsidRPr="00711726">
        <w:rPr>
          <w:rFonts w:cstheme="minorHAnsi"/>
        </w:rPr>
        <w:t xml:space="preserve">The collaborative framework </w:t>
      </w:r>
      <w:r w:rsidR="00B0624F" w:rsidRPr="00711726">
        <w:rPr>
          <w:rFonts w:cstheme="minorHAnsi"/>
        </w:rPr>
        <w:t>of</w:t>
      </w:r>
      <w:r w:rsidRPr="00711726">
        <w:rPr>
          <w:rFonts w:cstheme="minorHAnsi"/>
        </w:rPr>
        <w:t xml:space="preserve"> OSIEA </w:t>
      </w:r>
      <w:r w:rsidR="00B42576" w:rsidRPr="00711726">
        <w:rPr>
          <w:rFonts w:cstheme="minorHAnsi"/>
        </w:rPr>
        <w:t>and</w:t>
      </w:r>
      <w:r w:rsidR="00BB2081">
        <w:rPr>
          <w:rFonts w:cstheme="minorHAnsi"/>
        </w:rPr>
        <w:t xml:space="preserve"> </w:t>
      </w:r>
      <w:proofErr w:type="spellStart"/>
      <w:r w:rsidR="00BB2081">
        <w:rPr>
          <w:rFonts w:cstheme="minorHAnsi"/>
        </w:rPr>
        <w:t>Af</w:t>
      </w:r>
      <w:r w:rsidR="00E20580" w:rsidRPr="00711726">
        <w:rPr>
          <w:rFonts w:cstheme="minorHAnsi"/>
        </w:rPr>
        <w:t>RO</w:t>
      </w:r>
      <w:proofErr w:type="spellEnd"/>
      <w:r w:rsidR="00E20580" w:rsidRPr="00711726">
        <w:rPr>
          <w:rFonts w:cstheme="minorHAnsi"/>
        </w:rPr>
        <w:t xml:space="preserve"> work </w:t>
      </w:r>
      <w:r w:rsidRPr="00711726">
        <w:rPr>
          <w:rFonts w:cstheme="minorHAnsi"/>
        </w:rPr>
        <w:t>should be encouraged in future</w:t>
      </w:r>
      <w:r w:rsidR="002C11CD" w:rsidRPr="00711726">
        <w:rPr>
          <w:rFonts w:cstheme="minorHAnsi"/>
        </w:rPr>
        <w:t xml:space="preserve"> so</w:t>
      </w:r>
      <w:r w:rsidR="008C7BAD" w:rsidRPr="00711726">
        <w:rPr>
          <w:rFonts w:cstheme="minorHAnsi"/>
        </w:rPr>
        <w:t xml:space="preserve"> as</w:t>
      </w:r>
      <w:r w:rsidR="002C11CD" w:rsidRPr="00711726">
        <w:rPr>
          <w:rFonts w:cstheme="minorHAnsi"/>
        </w:rPr>
        <w:t xml:space="preserve"> to ensure that all actors are working to </w:t>
      </w:r>
      <w:r w:rsidR="008C7BAD" w:rsidRPr="00711726">
        <w:rPr>
          <w:rFonts w:cstheme="minorHAnsi"/>
        </w:rPr>
        <w:t>guarantee</w:t>
      </w:r>
      <w:r w:rsidR="002C11CD" w:rsidRPr="00711726">
        <w:rPr>
          <w:rFonts w:cstheme="minorHAnsi"/>
        </w:rPr>
        <w:t xml:space="preserve"> the integrity of the process</w:t>
      </w:r>
      <w:r w:rsidR="0061335A" w:rsidRPr="00711726">
        <w:rPr>
          <w:rFonts w:cstheme="minorHAnsi"/>
        </w:rPr>
        <w:t xml:space="preserve">. </w:t>
      </w:r>
      <w:r w:rsidR="00E20580" w:rsidRPr="00711726">
        <w:rPr>
          <w:rFonts w:cstheme="minorHAnsi"/>
        </w:rPr>
        <w:t>It is critical though</w:t>
      </w:r>
      <w:r w:rsidR="00607C9F" w:rsidRPr="00711726">
        <w:rPr>
          <w:rFonts w:cstheme="minorHAnsi"/>
        </w:rPr>
        <w:t xml:space="preserve"> that the </w:t>
      </w:r>
      <w:r w:rsidR="00E20580" w:rsidRPr="00711726">
        <w:rPr>
          <w:rFonts w:cstheme="minorHAnsi"/>
        </w:rPr>
        <w:t>initiative starts</w:t>
      </w:r>
      <w:r w:rsidR="00607C9F" w:rsidRPr="00711726">
        <w:rPr>
          <w:rFonts w:cstheme="minorHAnsi"/>
        </w:rPr>
        <w:t xml:space="preserve"> latest a year </w:t>
      </w:r>
      <w:r w:rsidR="00B0624F" w:rsidRPr="00711726">
        <w:rPr>
          <w:rFonts w:cstheme="minorHAnsi"/>
        </w:rPr>
        <w:t xml:space="preserve">or two </w:t>
      </w:r>
      <w:r w:rsidR="00607C9F" w:rsidRPr="00711726">
        <w:rPr>
          <w:rFonts w:cstheme="minorHAnsi"/>
        </w:rPr>
        <w:t>ahead of</w:t>
      </w:r>
      <w:r w:rsidR="000C46FD">
        <w:rPr>
          <w:rFonts w:cstheme="minorHAnsi"/>
        </w:rPr>
        <w:t xml:space="preserve"> election d</w:t>
      </w:r>
      <w:r w:rsidR="0013125D" w:rsidRPr="00711726">
        <w:rPr>
          <w:rFonts w:cstheme="minorHAnsi"/>
        </w:rPr>
        <w:t>ay</w:t>
      </w:r>
      <w:r w:rsidR="00340F7A" w:rsidRPr="00711726">
        <w:rPr>
          <w:rFonts w:cstheme="minorHAnsi"/>
        </w:rPr>
        <w:t>, and the se</w:t>
      </w:r>
      <w:r w:rsidR="0013125D" w:rsidRPr="00711726">
        <w:rPr>
          <w:rFonts w:cstheme="minorHAnsi"/>
        </w:rPr>
        <w:t>cretariat is recruited at an</w:t>
      </w:r>
      <w:r w:rsidR="00607C9F" w:rsidRPr="00711726">
        <w:rPr>
          <w:rFonts w:cstheme="minorHAnsi"/>
        </w:rPr>
        <w:t xml:space="preserve"> early stage. </w:t>
      </w:r>
    </w:p>
    <w:p w:rsidR="00711726" w:rsidRPr="00711726" w:rsidRDefault="00711726" w:rsidP="00711726">
      <w:pPr>
        <w:spacing w:after="0"/>
        <w:jc w:val="both"/>
        <w:rPr>
          <w:rFonts w:cstheme="minorHAnsi"/>
        </w:rPr>
      </w:pPr>
    </w:p>
    <w:p w:rsidR="001F4CC3" w:rsidRPr="000C46FD" w:rsidRDefault="001F4CC3" w:rsidP="0054285E">
      <w:pPr>
        <w:shd w:val="clear" w:color="auto" w:fill="17365D" w:themeFill="text2" w:themeFillShade="BF"/>
        <w:spacing w:after="0"/>
        <w:jc w:val="both"/>
        <w:rPr>
          <w:rFonts w:ascii="Garamond" w:hAnsi="Garamond" w:cstheme="minorHAnsi"/>
          <w:b/>
        </w:rPr>
      </w:pPr>
      <w:r w:rsidRPr="000C46FD">
        <w:rPr>
          <w:rFonts w:ascii="Garamond" w:hAnsi="Garamond" w:cstheme="minorHAnsi"/>
          <w:b/>
        </w:rPr>
        <w:t>KEY QUESTIONS</w:t>
      </w:r>
      <w:r w:rsidR="008D3C2B" w:rsidRPr="000C46FD">
        <w:rPr>
          <w:rFonts w:ascii="Garamond" w:hAnsi="Garamond" w:cstheme="minorHAnsi"/>
          <w:b/>
        </w:rPr>
        <w:t>/ FUTURE</w:t>
      </w:r>
    </w:p>
    <w:p w:rsidR="00005F6B" w:rsidRDefault="00B55340" w:rsidP="0054285E">
      <w:pPr>
        <w:spacing w:after="0"/>
        <w:jc w:val="both"/>
        <w:rPr>
          <w:rFonts w:cstheme="minorHAnsi"/>
        </w:rPr>
      </w:pPr>
      <w:r>
        <w:rPr>
          <w:rFonts w:cstheme="minorHAnsi"/>
        </w:rPr>
        <w:t>Q</w:t>
      </w:r>
      <w:r w:rsidR="0013125D">
        <w:rPr>
          <w:rFonts w:cstheme="minorHAnsi"/>
        </w:rPr>
        <w:t>1.</w:t>
      </w:r>
      <w:r w:rsidR="006F5D8F">
        <w:rPr>
          <w:rFonts w:cstheme="minorHAnsi"/>
        </w:rPr>
        <w:t xml:space="preserve"> </w:t>
      </w:r>
      <w:r w:rsidR="00A462C4">
        <w:rPr>
          <w:rFonts w:cstheme="minorHAnsi"/>
        </w:rPr>
        <w:t>Reflecting on the situation surrounding elections in East Africa where a culture of impunity has been perpetuated by incumbents,</w:t>
      </w:r>
      <w:r w:rsidR="000D4D57">
        <w:rPr>
          <w:rFonts w:cstheme="minorHAnsi"/>
        </w:rPr>
        <w:t xml:space="preserve"> does it m</w:t>
      </w:r>
      <w:r w:rsidR="006F5D8F">
        <w:rPr>
          <w:rFonts w:cstheme="minorHAnsi"/>
        </w:rPr>
        <w:t>ake any sense to continue engaging</w:t>
      </w:r>
      <w:r w:rsidR="008C7BAD">
        <w:rPr>
          <w:rFonts w:cstheme="minorHAnsi"/>
        </w:rPr>
        <w:t xml:space="preserve"> in electoral processes in future</w:t>
      </w:r>
      <w:r w:rsidR="000D4D57">
        <w:rPr>
          <w:rFonts w:cstheme="minorHAnsi"/>
        </w:rPr>
        <w:t>?</w:t>
      </w:r>
      <w:r w:rsidR="00005F6B">
        <w:rPr>
          <w:rFonts w:cstheme="minorHAnsi"/>
        </w:rPr>
        <w:t xml:space="preserve"> </w:t>
      </w:r>
      <w:r w:rsidR="002458E2">
        <w:rPr>
          <w:rFonts w:cstheme="minorHAnsi"/>
        </w:rPr>
        <w:t xml:space="preserve">We are at a moment where </w:t>
      </w:r>
      <w:r w:rsidR="00A462C4">
        <w:rPr>
          <w:rFonts w:cstheme="minorHAnsi"/>
        </w:rPr>
        <w:t>it seems we ought to think outside the box. What</w:t>
      </w:r>
      <w:r w:rsidR="002458E2">
        <w:rPr>
          <w:rFonts w:cstheme="minorHAnsi"/>
        </w:rPr>
        <w:t xml:space="preserve"> are other ways?</w:t>
      </w:r>
      <w:r w:rsidR="00005F6B">
        <w:rPr>
          <w:rFonts w:cstheme="minorHAnsi"/>
        </w:rPr>
        <w:t xml:space="preserve"> </w:t>
      </w:r>
      <w:r w:rsidR="0013125D">
        <w:rPr>
          <w:rFonts w:cstheme="minorHAnsi"/>
        </w:rPr>
        <w:t>H</w:t>
      </w:r>
      <w:r w:rsidR="00A462C4">
        <w:rPr>
          <w:rFonts w:cstheme="minorHAnsi"/>
        </w:rPr>
        <w:t>ow else can we engage?</w:t>
      </w:r>
    </w:p>
    <w:p w:rsidR="006F5D8F" w:rsidRDefault="006F5D8F" w:rsidP="0054285E">
      <w:pPr>
        <w:spacing w:after="0"/>
        <w:jc w:val="both"/>
        <w:rPr>
          <w:rFonts w:cstheme="minorHAnsi"/>
        </w:rPr>
      </w:pPr>
    </w:p>
    <w:p w:rsidR="00B55340" w:rsidRPr="001E7336" w:rsidRDefault="00B55340" w:rsidP="0054285E">
      <w:pPr>
        <w:spacing w:after="0"/>
        <w:jc w:val="both"/>
        <w:rPr>
          <w:rFonts w:cstheme="minorHAnsi"/>
        </w:rPr>
      </w:pPr>
      <w:r>
        <w:rPr>
          <w:rFonts w:cstheme="minorHAnsi"/>
        </w:rPr>
        <w:t>Q2.</w:t>
      </w:r>
      <w:r w:rsidR="00263401">
        <w:rPr>
          <w:rFonts w:cstheme="minorHAnsi"/>
        </w:rPr>
        <w:t xml:space="preserve"> Would it be beneficial to start thinking with a regional outlook in strategizing for our involvement in </w:t>
      </w:r>
      <w:r w:rsidR="0013125D">
        <w:rPr>
          <w:rFonts w:cstheme="minorHAnsi"/>
        </w:rPr>
        <w:t xml:space="preserve">the </w:t>
      </w:r>
      <w:r w:rsidR="00263401">
        <w:rPr>
          <w:rFonts w:cstheme="minorHAnsi"/>
        </w:rPr>
        <w:t>electoral process,</w:t>
      </w:r>
      <w:r w:rsidR="00A462C4">
        <w:rPr>
          <w:rFonts w:cstheme="minorHAnsi"/>
        </w:rPr>
        <w:t xml:space="preserve"> and</w:t>
      </w:r>
      <w:r w:rsidR="00263401">
        <w:rPr>
          <w:rFonts w:cstheme="minorHAnsi"/>
        </w:rPr>
        <w:t xml:space="preserve"> thus program for engagement regionally</w:t>
      </w:r>
      <w:r w:rsidR="00005F6B">
        <w:rPr>
          <w:rFonts w:cstheme="minorHAnsi"/>
        </w:rPr>
        <w:t xml:space="preserve"> within OSIEA</w:t>
      </w:r>
      <w:r w:rsidR="00263401">
        <w:rPr>
          <w:rFonts w:cstheme="minorHAnsi"/>
        </w:rPr>
        <w:t>?</w:t>
      </w:r>
      <w:bookmarkStart w:id="0" w:name="_GoBack"/>
      <w:bookmarkEnd w:id="0"/>
    </w:p>
    <w:sectPr w:rsidR="00B55340" w:rsidRPr="001E7336">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49B9" w:rsidRDefault="008249B9" w:rsidP="004D7028">
      <w:pPr>
        <w:spacing w:after="0" w:line="240" w:lineRule="auto"/>
      </w:pPr>
      <w:r>
        <w:separator/>
      </w:r>
    </w:p>
  </w:endnote>
  <w:endnote w:type="continuationSeparator" w:id="0">
    <w:p w:rsidR="008249B9" w:rsidRDefault="008249B9" w:rsidP="004D70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311028"/>
      <w:docPartObj>
        <w:docPartGallery w:val="Page Numbers (Bottom of Page)"/>
        <w:docPartUnique/>
      </w:docPartObj>
    </w:sdtPr>
    <w:sdtEndPr>
      <w:rPr>
        <w:color w:val="808080" w:themeColor="background1" w:themeShade="80"/>
        <w:spacing w:val="60"/>
      </w:rPr>
    </w:sdtEndPr>
    <w:sdtContent>
      <w:p w:rsidR="00D11330" w:rsidRDefault="00D11330">
        <w:pPr>
          <w:pStyle w:val="Footer"/>
          <w:pBdr>
            <w:top w:val="single" w:sz="4" w:space="1" w:color="D9D9D9" w:themeColor="background1" w:themeShade="D9"/>
          </w:pBdr>
          <w:jc w:val="right"/>
        </w:pPr>
        <w:r>
          <w:fldChar w:fldCharType="begin"/>
        </w:r>
        <w:r>
          <w:instrText xml:space="preserve"> PAGE   \* MERGEFORMAT </w:instrText>
        </w:r>
        <w:r>
          <w:fldChar w:fldCharType="separate"/>
        </w:r>
        <w:r w:rsidR="006F5D8F">
          <w:rPr>
            <w:noProof/>
          </w:rPr>
          <w:t>1</w:t>
        </w:r>
        <w:r>
          <w:rPr>
            <w:noProof/>
          </w:rPr>
          <w:fldChar w:fldCharType="end"/>
        </w:r>
        <w:r>
          <w:t xml:space="preserve"> | </w:t>
        </w:r>
        <w:r>
          <w:rPr>
            <w:color w:val="808080" w:themeColor="background1" w:themeShade="80"/>
            <w:spacing w:val="60"/>
          </w:rPr>
          <w:t>Page</w:t>
        </w:r>
      </w:p>
    </w:sdtContent>
  </w:sdt>
  <w:p w:rsidR="00D11330" w:rsidRPr="004D7028" w:rsidRDefault="00D11330">
    <w:pPr>
      <w:pStyle w:val="Footer"/>
      <w:rPr>
        <w:i/>
        <w:sz w:val="20"/>
        <w:szCs w:val="20"/>
      </w:rPr>
    </w:pPr>
    <w:r>
      <w:rPr>
        <w:i/>
        <w:sz w:val="20"/>
        <w:szCs w:val="20"/>
      </w:rPr>
      <w:t>O</w:t>
    </w:r>
    <w:r w:rsidR="0036792C">
      <w:rPr>
        <w:i/>
        <w:sz w:val="20"/>
        <w:szCs w:val="20"/>
      </w:rPr>
      <w:t>SIEA</w:t>
    </w:r>
    <w:r>
      <w:rPr>
        <w:i/>
        <w:sz w:val="20"/>
        <w:szCs w:val="20"/>
      </w:rPr>
      <w:t xml:space="preserve"> Tanzania Program Portfolio Review</w:t>
    </w:r>
    <w:r w:rsidR="00B96138">
      <w:rPr>
        <w:i/>
        <w:sz w:val="20"/>
        <w:szCs w:val="20"/>
      </w:rPr>
      <w:t xml:space="preserve"> </w:t>
    </w:r>
    <w:r w:rsidR="00EA2FD5">
      <w:rPr>
        <w:i/>
        <w:sz w:val="20"/>
        <w:szCs w:val="20"/>
      </w:rPr>
      <w:t>-</w:t>
    </w:r>
    <w:r w:rsidR="00B96138">
      <w:rPr>
        <w:i/>
        <w:sz w:val="20"/>
        <w:szCs w:val="20"/>
      </w:rPr>
      <w:t xml:space="preserve"> </w:t>
    </w:r>
    <w:r w:rsidR="00EA2FD5">
      <w:rPr>
        <w:i/>
        <w:sz w:val="20"/>
        <w:szCs w:val="20"/>
      </w:rPr>
      <w:t>Elections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49B9" w:rsidRDefault="008249B9" w:rsidP="004D7028">
      <w:pPr>
        <w:spacing w:after="0" w:line="240" w:lineRule="auto"/>
      </w:pPr>
      <w:r>
        <w:separator/>
      </w:r>
    </w:p>
  </w:footnote>
  <w:footnote w:type="continuationSeparator" w:id="0">
    <w:p w:rsidR="008249B9" w:rsidRDefault="008249B9" w:rsidP="004D7028">
      <w:pPr>
        <w:spacing w:after="0" w:line="240" w:lineRule="auto"/>
      </w:pPr>
      <w:r>
        <w:continuationSeparator/>
      </w:r>
    </w:p>
  </w:footnote>
  <w:footnote w:id="1">
    <w:p w:rsidR="00D11330" w:rsidRDefault="00D11330" w:rsidP="00642B6A">
      <w:pPr>
        <w:pStyle w:val="NoSpacing"/>
        <w:jc w:val="both"/>
        <w:rPr>
          <w:rFonts w:ascii="Calibri Light" w:hAnsi="Calibri Light"/>
          <w:sz w:val="18"/>
          <w:szCs w:val="18"/>
        </w:rPr>
      </w:pPr>
      <w:r>
        <w:rPr>
          <w:rStyle w:val="FootnoteReference"/>
          <w:rFonts w:ascii="Calibri Light" w:eastAsia="Calibri" w:hAnsi="Calibri Light"/>
          <w:sz w:val="18"/>
          <w:szCs w:val="18"/>
        </w:rPr>
        <w:footnoteRef/>
      </w:r>
      <w:r>
        <w:rPr>
          <w:rFonts w:ascii="Calibri Light" w:hAnsi="Calibri Light"/>
          <w:sz w:val="18"/>
          <w:szCs w:val="18"/>
        </w:rPr>
        <w:t xml:space="preserve"> Tanzania is a signatory to series of international and regional instruments regulating the conduct of democratic elections which include: International Covenant on Civil and Political Rights; African Charter on Human and Peoples’ Rights; SADC Principles and Guidelines Governing Democratic Elections; Convention on the Elimination of Discrimination Against Women; International Convention on the Elimination of Racial Discrimination; and Commonwealth Harare Declaration</w:t>
      </w:r>
      <w:r w:rsidR="0054285E">
        <w:rPr>
          <w:rFonts w:ascii="Calibri Light" w:hAnsi="Calibri Light"/>
          <w:sz w:val="18"/>
          <w:szCs w:val="18"/>
        </w:rPr>
        <w:t>.</w:t>
      </w:r>
    </w:p>
  </w:footnote>
  <w:footnote w:id="2">
    <w:p w:rsidR="00D11330" w:rsidRDefault="00D11330" w:rsidP="00642B6A">
      <w:pPr>
        <w:pStyle w:val="FootnoteText"/>
        <w:rPr>
          <w:rFonts w:ascii="Calibri Light" w:hAnsi="Calibri Light"/>
          <w:sz w:val="18"/>
          <w:szCs w:val="18"/>
        </w:rPr>
      </w:pPr>
      <w:r>
        <w:rPr>
          <w:rStyle w:val="FootnoteReference"/>
          <w:rFonts w:ascii="Calibri Light" w:hAnsi="Calibri Light"/>
          <w:sz w:val="18"/>
          <w:szCs w:val="18"/>
        </w:rPr>
        <w:footnoteRef/>
      </w:r>
      <w:r>
        <w:rPr>
          <w:rFonts w:ascii="Calibri Light" w:hAnsi="Calibri Light"/>
          <w:sz w:val="18"/>
          <w:szCs w:val="18"/>
        </w:rPr>
        <w:t xml:space="preserve"> Article 74 (12) of the Constitution of the Unite</w:t>
      </w:r>
      <w:r w:rsidR="0054285E">
        <w:rPr>
          <w:rFonts w:ascii="Calibri Light" w:hAnsi="Calibri Light"/>
          <w:sz w:val="18"/>
          <w:szCs w:val="18"/>
        </w:rPr>
        <w:t>d</w:t>
      </w:r>
      <w:r>
        <w:rPr>
          <w:rFonts w:ascii="Calibri Light" w:hAnsi="Calibri Light"/>
          <w:sz w:val="18"/>
          <w:szCs w:val="18"/>
        </w:rPr>
        <w:t xml:space="preserve"> Republic of Tanzania of 1997</w:t>
      </w:r>
      <w:r w:rsidR="0054285E">
        <w:rPr>
          <w:rFonts w:ascii="Calibri Light" w:hAnsi="Calibri Light"/>
          <w:sz w:val="18"/>
          <w:szCs w:val="18"/>
        </w:rPr>
        <w:t>,</w:t>
      </w:r>
      <w:r>
        <w:rPr>
          <w:rFonts w:ascii="Calibri Light" w:hAnsi="Calibri Light"/>
          <w:sz w:val="18"/>
          <w:szCs w:val="18"/>
        </w:rPr>
        <w:t xml:space="preserve"> which is also reproduced in Article 119 (13) of the Constitution of Zanzibar of 1984</w:t>
      </w:r>
      <w:r w:rsidR="0054285E">
        <w:rPr>
          <w:rFonts w:ascii="Calibri Light" w:hAnsi="Calibri Light"/>
          <w:sz w:val="18"/>
          <w:szCs w:val="18"/>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A4739B"/>
    <w:multiLevelType w:val="hybridMultilevel"/>
    <w:tmpl w:val="9AAA118E"/>
    <w:lvl w:ilvl="0" w:tplc="1476643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8D84A26"/>
    <w:multiLevelType w:val="hybridMultilevel"/>
    <w:tmpl w:val="AAC48B40"/>
    <w:lvl w:ilvl="0" w:tplc="1476643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EEC67CB"/>
    <w:multiLevelType w:val="hybridMultilevel"/>
    <w:tmpl w:val="60586B3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4FED70F1"/>
    <w:multiLevelType w:val="hybridMultilevel"/>
    <w:tmpl w:val="210E9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A0366E8"/>
    <w:multiLevelType w:val="hybridMultilevel"/>
    <w:tmpl w:val="D5C47A36"/>
    <w:lvl w:ilvl="0" w:tplc="1476643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8997A03"/>
    <w:multiLevelType w:val="hybridMultilevel"/>
    <w:tmpl w:val="A8F2E994"/>
    <w:lvl w:ilvl="0" w:tplc="DE367126">
      <w:start w:val="1"/>
      <w:numFmt w:val="lowerRoman"/>
      <w:lvlText w:val="(%1)"/>
      <w:lvlJc w:val="left"/>
      <w:pPr>
        <w:ind w:left="1080" w:hanging="720"/>
      </w:pPr>
      <w:rPr>
        <w:rFonts w:hint="default"/>
      </w:rPr>
    </w:lvl>
    <w:lvl w:ilvl="1" w:tplc="7BDAC878">
      <w:start w:val="1"/>
      <w:numFmt w:val="decimal"/>
      <w:lvlText w:val="%2."/>
      <w:lvlJc w:val="left"/>
      <w:pPr>
        <w:ind w:left="36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930"/>
    <w:rsid w:val="00005F6B"/>
    <w:rsid w:val="000212C5"/>
    <w:rsid w:val="00036A57"/>
    <w:rsid w:val="000439E8"/>
    <w:rsid w:val="00044E26"/>
    <w:rsid w:val="00062CB9"/>
    <w:rsid w:val="00086DEB"/>
    <w:rsid w:val="00097F96"/>
    <w:rsid w:val="000A375B"/>
    <w:rsid w:val="000C296C"/>
    <w:rsid w:val="000C466D"/>
    <w:rsid w:val="000C46FD"/>
    <w:rsid w:val="000C63EE"/>
    <w:rsid w:val="000D4D57"/>
    <w:rsid w:val="000D7AA5"/>
    <w:rsid w:val="000F4419"/>
    <w:rsid w:val="001017E8"/>
    <w:rsid w:val="001215C7"/>
    <w:rsid w:val="001269C7"/>
    <w:rsid w:val="001277A3"/>
    <w:rsid w:val="0013125D"/>
    <w:rsid w:val="00143012"/>
    <w:rsid w:val="00146ABC"/>
    <w:rsid w:val="00153FB5"/>
    <w:rsid w:val="001759AC"/>
    <w:rsid w:val="00182A8A"/>
    <w:rsid w:val="00183959"/>
    <w:rsid w:val="00185DF9"/>
    <w:rsid w:val="0019510D"/>
    <w:rsid w:val="00197089"/>
    <w:rsid w:val="001A747D"/>
    <w:rsid w:val="001C0F4A"/>
    <w:rsid w:val="001C1A10"/>
    <w:rsid w:val="001C6402"/>
    <w:rsid w:val="001E086F"/>
    <w:rsid w:val="001E4763"/>
    <w:rsid w:val="001E7336"/>
    <w:rsid w:val="001F470A"/>
    <w:rsid w:val="001F4CC3"/>
    <w:rsid w:val="00200517"/>
    <w:rsid w:val="00206788"/>
    <w:rsid w:val="0021078F"/>
    <w:rsid w:val="00211A0D"/>
    <w:rsid w:val="002330BB"/>
    <w:rsid w:val="0023440A"/>
    <w:rsid w:val="002458E2"/>
    <w:rsid w:val="002461A3"/>
    <w:rsid w:val="00254C8D"/>
    <w:rsid w:val="00260B02"/>
    <w:rsid w:val="00262205"/>
    <w:rsid w:val="00263401"/>
    <w:rsid w:val="00274229"/>
    <w:rsid w:val="00276658"/>
    <w:rsid w:val="0028482D"/>
    <w:rsid w:val="002917DD"/>
    <w:rsid w:val="002B2529"/>
    <w:rsid w:val="002C11CD"/>
    <w:rsid w:val="002C3B71"/>
    <w:rsid w:val="002D1128"/>
    <w:rsid w:val="002D335B"/>
    <w:rsid w:val="002E04D6"/>
    <w:rsid w:val="002E10EB"/>
    <w:rsid w:val="002E2A7C"/>
    <w:rsid w:val="002E3F7E"/>
    <w:rsid w:val="002E4A00"/>
    <w:rsid w:val="002E73A2"/>
    <w:rsid w:val="002F54D3"/>
    <w:rsid w:val="002F7C65"/>
    <w:rsid w:val="002F7D31"/>
    <w:rsid w:val="00312821"/>
    <w:rsid w:val="003142FF"/>
    <w:rsid w:val="00326F1E"/>
    <w:rsid w:val="00326FB2"/>
    <w:rsid w:val="00340F7A"/>
    <w:rsid w:val="00351D67"/>
    <w:rsid w:val="0036792C"/>
    <w:rsid w:val="00371494"/>
    <w:rsid w:val="00371819"/>
    <w:rsid w:val="00383DE2"/>
    <w:rsid w:val="003A5331"/>
    <w:rsid w:val="003B1FDD"/>
    <w:rsid w:val="003B515C"/>
    <w:rsid w:val="003C1EC5"/>
    <w:rsid w:val="003E4829"/>
    <w:rsid w:val="003F1AEF"/>
    <w:rsid w:val="003F7C15"/>
    <w:rsid w:val="004010F3"/>
    <w:rsid w:val="004154AC"/>
    <w:rsid w:val="00433535"/>
    <w:rsid w:val="00451148"/>
    <w:rsid w:val="00462296"/>
    <w:rsid w:val="004642D6"/>
    <w:rsid w:val="004804DB"/>
    <w:rsid w:val="00480C7F"/>
    <w:rsid w:val="0049512F"/>
    <w:rsid w:val="00495AAC"/>
    <w:rsid w:val="004D0E5A"/>
    <w:rsid w:val="004D498E"/>
    <w:rsid w:val="004D7028"/>
    <w:rsid w:val="00505622"/>
    <w:rsid w:val="00516DDA"/>
    <w:rsid w:val="00520941"/>
    <w:rsid w:val="005230F3"/>
    <w:rsid w:val="005422BA"/>
    <w:rsid w:val="0054285E"/>
    <w:rsid w:val="00542964"/>
    <w:rsid w:val="00556862"/>
    <w:rsid w:val="00557D3B"/>
    <w:rsid w:val="00560B1B"/>
    <w:rsid w:val="00563BD6"/>
    <w:rsid w:val="00564F55"/>
    <w:rsid w:val="005870AE"/>
    <w:rsid w:val="00587EDB"/>
    <w:rsid w:val="00593196"/>
    <w:rsid w:val="005931EA"/>
    <w:rsid w:val="00593C8B"/>
    <w:rsid w:val="00597524"/>
    <w:rsid w:val="005B70EC"/>
    <w:rsid w:val="005C08C7"/>
    <w:rsid w:val="005D2C07"/>
    <w:rsid w:val="005E48A0"/>
    <w:rsid w:val="00606454"/>
    <w:rsid w:val="00607C9F"/>
    <w:rsid w:val="00610C43"/>
    <w:rsid w:val="0061335A"/>
    <w:rsid w:val="00627A26"/>
    <w:rsid w:val="006356C4"/>
    <w:rsid w:val="00642B6A"/>
    <w:rsid w:val="00657067"/>
    <w:rsid w:val="0066247A"/>
    <w:rsid w:val="0067124F"/>
    <w:rsid w:val="0067775B"/>
    <w:rsid w:val="0069649D"/>
    <w:rsid w:val="006A5002"/>
    <w:rsid w:val="006A7033"/>
    <w:rsid w:val="006B3E9F"/>
    <w:rsid w:val="006C00AD"/>
    <w:rsid w:val="006C2B63"/>
    <w:rsid w:val="006F5D8F"/>
    <w:rsid w:val="00701123"/>
    <w:rsid w:val="00711726"/>
    <w:rsid w:val="00717568"/>
    <w:rsid w:val="00723C44"/>
    <w:rsid w:val="00731CB7"/>
    <w:rsid w:val="00757BE1"/>
    <w:rsid w:val="007664F8"/>
    <w:rsid w:val="00781855"/>
    <w:rsid w:val="00781980"/>
    <w:rsid w:val="00785930"/>
    <w:rsid w:val="007B1CBD"/>
    <w:rsid w:val="007E5612"/>
    <w:rsid w:val="007F2641"/>
    <w:rsid w:val="00815D45"/>
    <w:rsid w:val="0081745A"/>
    <w:rsid w:val="008249B9"/>
    <w:rsid w:val="00825DB1"/>
    <w:rsid w:val="00826987"/>
    <w:rsid w:val="00844940"/>
    <w:rsid w:val="00844A14"/>
    <w:rsid w:val="00850BFF"/>
    <w:rsid w:val="008C7BAD"/>
    <w:rsid w:val="008D3C2B"/>
    <w:rsid w:val="008E7CEF"/>
    <w:rsid w:val="0090486B"/>
    <w:rsid w:val="00907199"/>
    <w:rsid w:val="00915339"/>
    <w:rsid w:val="00922D57"/>
    <w:rsid w:val="00926AC1"/>
    <w:rsid w:val="00931578"/>
    <w:rsid w:val="00932C44"/>
    <w:rsid w:val="00946B83"/>
    <w:rsid w:val="00946CDE"/>
    <w:rsid w:val="00961D08"/>
    <w:rsid w:val="00973033"/>
    <w:rsid w:val="009755F7"/>
    <w:rsid w:val="00980E0A"/>
    <w:rsid w:val="00981AB7"/>
    <w:rsid w:val="0099347F"/>
    <w:rsid w:val="009A6850"/>
    <w:rsid w:val="009B6546"/>
    <w:rsid w:val="009C4580"/>
    <w:rsid w:val="009C6CC0"/>
    <w:rsid w:val="009D6405"/>
    <w:rsid w:val="009F4224"/>
    <w:rsid w:val="009F59E5"/>
    <w:rsid w:val="00A00F66"/>
    <w:rsid w:val="00A13D82"/>
    <w:rsid w:val="00A22C7B"/>
    <w:rsid w:val="00A41D1A"/>
    <w:rsid w:val="00A462C4"/>
    <w:rsid w:val="00A46396"/>
    <w:rsid w:val="00A464E5"/>
    <w:rsid w:val="00A4710C"/>
    <w:rsid w:val="00A714E5"/>
    <w:rsid w:val="00A72C21"/>
    <w:rsid w:val="00A748E2"/>
    <w:rsid w:val="00AD08CE"/>
    <w:rsid w:val="00AD255C"/>
    <w:rsid w:val="00AE7200"/>
    <w:rsid w:val="00AF7AB0"/>
    <w:rsid w:val="00B050E2"/>
    <w:rsid w:val="00B0624F"/>
    <w:rsid w:val="00B067BA"/>
    <w:rsid w:val="00B276AD"/>
    <w:rsid w:val="00B42576"/>
    <w:rsid w:val="00B437BE"/>
    <w:rsid w:val="00B52E10"/>
    <w:rsid w:val="00B55340"/>
    <w:rsid w:val="00B74FF4"/>
    <w:rsid w:val="00B77D9A"/>
    <w:rsid w:val="00B8776B"/>
    <w:rsid w:val="00B91BAF"/>
    <w:rsid w:val="00B9554C"/>
    <w:rsid w:val="00B96138"/>
    <w:rsid w:val="00BB2081"/>
    <w:rsid w:val="00BC16C3"/>
    <w:rsid w:val="00BC1781"/>
    <w:rsid w:val="00BC3925"/>
    <w:rsid w:val="00BD5B0E"/>
    <w:rsid w:val="00BD78E6"/>
    <w:rsid w:val="00BF52D3"/>
    <w:rsid w:val="00C06A51"/>
    <w:rsid w:val="00C10FFE"/>
    <w:rsid w:val="00C15F13"/>
    <w:rsid w:val="00C21A59"/>
    <w:rsid w:val="00C21D86"/>
    <w:rsid w:val="00C22AB8"/>
    <w:rsid w:val="00C30939"/>
    <w:rsid w:val="00C444CE"/>
    <w:rsid w:val="00C47FC5"/>
    <w:rsid w:val="00C50E48"/>
    <w:rsid w:val="00C62153"/>
    <w:rsid w:val="00C82F93"/>
    <w:rsid w:val="00C83824"/>
    <w:rsid w:val="00C87768"/>
    <w:rsid w:val="00C93CE3"/>
    <w:rsid w:val="00CA6BAA"/>
    <w:rsid w:val="00CC221B"/>
    <w:rsid w:val="00CC5335"/>
    <w:rsid w:val="00CE01A4"/>
    <w:rsid w:val="00CE701D"/>
    <w:rsid w:val="00D11330"/>
    <w:rsid w:val="00D17592"/>
    <w:rsid w:val="00D175A3"/>
    <w:rsid w:val="00D428BE"/>
    <w:rsid w:val="00D457B2"/>
    <w:rsid w:val="00D55357"/>
    <w:rsid w:val="00D60FA7"/>
    <w:rsid w:val="00D6448B"/>
    <w:rsid w:val="00D64FF9"/>
    <w:rsid w:val="00D93313"/>
    <w:rsid w:val="00DA7F0B"/>
    <w:rsid w:val="00DC31FA"/>
    <w:rsid w:val="00DD0E57"/>
    <w:rsid w:val="00DD54DE"/>
    <w:rsid w:val="00DE1DAC"/>
    <w:rsid w:val="00DE2224"/>
    <w:rsid w:val="00DF6816"/>
    <w:rsid w:val="00E00CED"/>
    <w:rsid w:val="00E0475C"/>
    <w:rsid w:val="00E14109"/>
    <w:rsid w:val="00E20580"/>
    <w:rsid w:val="00E24DEC"/>
    <w:rsid w:val="00E2688C"/>
    <w:rsid w:val="00E27D40"/>
    <w:rsid w:val="00E300E8"/>
    <w:rsid w:val="00E34828"/>
    <w:rsid w:val="00E40882"/>
    <w:rsid w:val="00E43C93"/>
    <w:rsid w:val="00E678C9"/>
    <w:rsid w:val="00E73DF8"/>
    <w:rsid w:val="00E773E6"/>
    <w:rsid w:val="00E97C3D"/>
    <w:rsid w:val="00EA172E"/>
    <w:rsid w:val="00EA2FD5"/>
    <w:rsid w:val="00EA584C"/>
    <w:rsid w:val="00EB30C3"/>
    <w:rsid w:val="00EF11CC"/>
    <w:rsid w:val="00F14078"/>
    <w:rsid w:val="00F14FEC"/>
    <w:rsid w:val="00F23AE9"/>
    <w:rsid w:val="00F27B3A"/>
    <w:rsid w:val="00F31999"/>
    <w:rsid w:val="00F31A16"/>
    <w:rsid w:val="00F357FD"/>
    <w:rsid w:val="00F545DD"/>
    <w:rsid w:val="00F61C5E"/>
    <w:rsid w:val="00F6741E"/>
    <w:rsid w:val="00F83E98"/>
    <w:rsid w:val="00F87917"/>
    <w:rsid w:val="00F940B9"/>
    <w:rsid w:val="00FA7CFF"/>
    <w:rsid w:val="00FB6A54"/>
    <w:rsid w:val="00FC54B5"/>
    <w:rsid w:val="00FD00A9"/>
    <w:rsid w:val="00FD685F"/>
    <w:rsid w:val="00FE5F4F"/>
    <w:rsid w:val="00FE63EF"/>
    <w:rsid w:val="00FF0A73"/>
    <w:rsid w:val="00FF5B42"/>
    <w:rsid w:val="00FF6C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930"/>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5930"/>
    <w:pPr>
      <w:ind w:left="720"/>
      <w:contextualSpacing/>
    </w:pPr>
  </w:style>
  <w:style w:type="paragraph" w:styleId="BalloonText">
    <w:name w:val="Balloon Text"/>
    <w:basedOn w:val="Normal"/>
    <w:link w:val="BalloonTextChar"/>
    <w:uiPriority w:val="99"/>
    <w:semiHidden/>
    <w:unhideWhenUsed/>
    <w:rsid w:val="007859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5930"/>
    <w:rPr>
      <w:rFonts w:ascii="Tahoma" w:hAnsi="Tahoma" w:cs="Tahoma"/>
      <w:sz w:val="16"/>
      <w:szCs w:val="16"/>
      <w:lang w:val="en-GB"/>
    </w:rPr>
  </w:style>
  <w:style w:type="paragraph" w:styleId="Header">
    <w:name w:val="header"/>
    <w:basedOn w:val="Normal"/>
    <w:link w:val="HeaderChar"/>
    <w:uiPriority w:val="99"/>
    <w:unhideWhenUsed/>
    <w:rsid w:val="004D70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7028"/>
    <w:rPr>
      <w:lang w:val="en-GB"/>
    </w:rPr>
  </w:style>
  <w:style w:type="paragraph" w:styleId="Footer">
    <w:name w:val="footer"/>
    <w:basedOn w:val="Normal"/>
    <w:link w:val="FooterChar"/>
    <w:uiPriority w:val="99"/>
    <w:unhideWhenUsed/>
    <w:rsid w:val="004D70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7028"/>
    <w:rPr>
      <w:lang w:val="en-GB"/>
    </w:rPr>
  </w:style>
  <w:style w:type="character" w:styleId="LineNumber">
    <w:name w:val="line number"/>
    <w:basedOn w:val="DefaultParagraphFont"/>
    <w:uiPriority w:val="99"/>
    <w:semiHidden/>
    <w:unhideWhenUsed/>
    <w:rsid w:val="004D7028"/>
  </w:style>
  <w:style w:type="paragraph" w:styleId="NoSpacing">
    <w:name w:val="No Spacing"/>
    <w:uiPriority w:val="1"/>
    <w:qFormat/>
    <w:rsid w:val="00C15F13"/>
    <w:pPr>
      <w:spacing w:after="0" w:line="240" w:lineRule="auto"/>
    </w:pPr>
    <w:rPr>
      <w:lang w:val="en-GB"/>
    </w:rPr>
  </w:style>
  <w:style w:type="paragraph" w:styleId="FootnoteText">
    <w:name w:val="footnote text"/>
    <w:basedOn w:val="Normal"/>
    <w:link w:val="FootnoteTextChar"/>
    <w:uiPriority w:val="99"/>
    <w:semiHidden/>
    <w:unhideWhenUsed/>
    <w:rsid w:val="00C15F13"/>
    <w:pPr>
      <w:spacing w:after="0" w:line="240" w:lineRule="auto"/>
    </w:pPr>
    <w:rPr>
      <w:rFonts w:ascii="Calibri" w:eastAsia="Calibri" w:hAnsi="Calibri" w:cs="Times New Roman"/>
      <w:sz w:val="20"/>
      <w:szCs w:val="20"/>
      <w:lang w:val="en-US"/>
    </w:rPr>
  </w:style>
  <w:style w:type="character" w:customStyle="1" w:styleId="FootnoteTextChar">
    <w:name w:val="Footnote Text Char"/>
    <w:basedOn w:val="DefaultParagraphFont"/>
    <w:link w:val="FootnoteText"/>
    <w:uiPriority w:val="99"/>
    <w:semiHidden/>
    <w:rsid w:val="00C15F13"/>
    <w:rPr>
      <w:rFonts w:ascii="Calibri" w:eastAsia="Calibri" w:hAnsi="Calibri" w:cs="Times New Roman"/>
      <w:sz w:val="20"/>
      <w:szCs w:val="20"/>
    </w:rPr>
  </w:style>
  <w:style w:type="character" w:styleId="FootnoteReference">
    <w:name w:val="footnote reference"/>
    <w:uiPriority w:val="99"/>
    <w:semiHidden/>
    <w:unhideWhenUsed/>
    <w:rsid w:val="00C15F13"/>
    <w:rPr>
      <w:vertAlign w:val="superscript"/>
    </w:rPr>
  </w:style>
  <w:style w:type="character" w:styleId="CommentReference">
    <w:name w:val="annotation reference"/>
    <w:basedOn w:val="DefaultParagraphFont"/>
    <w:uiPriority w:val="99"/>
    <w:semiHidden/>
    <w:unhideWhenUsed/>
    <w:rsid w:val="00F87917"/>
    <w:rPr>
      <w:sz w:val="16"/>
      <w:szCs w:val="16"/>
    </w:rPr>
  </w:style>
  <w:style w:type="paragraph" w:styleId="CommentText">
    <w:name w:val="annotation text"/>
    <w:basedOn w:val="Normal"/>
    <w:link w:val="CommentTextChar"/>
    <w:uiPriority w:val="99"/>
    <w:semiHidden/>
    <w:unhideWhenUsed/>
    <w:rsid w:val="00F87917"/>
    <w:pPr>
      <w:spacing w:line="240" w:lineRule="auto"/>
    </w:pPr>
    <w:rPr>
      <w:sz w:val="20"/>
      <w:szCs w:val="20"/>
    </w:rPr>
  </w:style>
  <w:style w:type="character" w:customStyle="1" w:styleId="CommentTextChar">
    <w:name w:val="Comment Text Char"/>
    <w:basedOn w:val="DefaultParagraphFont"/>
    <w:link w:val="CommentText"/>
    <w:uiPriority w:val="99"/>
    <w:semiHidden/>
    <w:rsid w:val="00F87917"/>
    <w:rPr>
      <w:sz w:val="20"/>
      <w:szCs w:val="20"/>
      <w:lang w:val="en-GB"/>
    </w:rPr>
  </w:style>
  <w:style w:type="paragraph" w:styleId="CommentSubject">
    <w:name w:val="annotation subject"/>
    <w:basedOn w:val="CommentText"/>
    <w:next w:val="CommentText"/>
    <w:link w:val="CommentSubjectChar"/>
    <w:uiPriority w:val="99"/>
    <w:semiHidden/>
    <w:unhideWhenUsed/>
    <w:rsid w:val="00F87917"/>
    <w:rPr>
      <w:b/>
      <w:bCs/>
    </w:rPr>
  </w:style>
  <w:style w:type="character" w:customStyle="1" w:styleId="CommentSubjectChar">
    <w:name w:val="Comment Subject Char"/>
    <w:basedOn w:val="CommentTextChar"/>
    <w:link w:val="CommentSubject"/>
    <w:uiPriority w:val="99"/>
    <w:semiHidden/>
    <w:rsid w:val="00F87917"/>
    <w:rPr>
      <w:b/>
      <w:bCs/>
      <w:sz w:val="20"/>
      <w:szCs w:val="20"/>
      <w:lang w:val="en-GB"/>
    </w:rPr>
  </w:style>
  <w:style w:type="paragraph" w:styleId="EndnoteText">
    <w:name w:val="endnote text"/>
    <w:basedOn w:val="Normal"/>
    <w:link w:val="EndnoteTextChar"/>
    <w:uiPriority w:val="99"/>
    <w:semiHidden/>
    <w:unhideWhenUsed/>
    <w:rsid w:val="003A533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A5331"/>
    <w:rPr>
      <w:sz w:val="20"/>
      <w:szCs w:val="20"/>
      <w:lang w:val="en-GB"/>
    </w:rPr>
  </w:style>
  <w:style w:type="character" w:styleId="EndnoteReference">
    <w:name w:val="endnote reference"/>
    <w:basedOn w:val="DefaultParagraphFont"/>
    <w:uiPriority w:val="99"/>
    <w:semiHidden/>
    <w:unhideWhenUsed/>
    <w:rsid w:val="003A533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930"/>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5930"/>
    <w:pPr>
      <w:ind w:left="720"/>
      <w:contextualSpacing/>
    </w:pPr>
  </w:style>
  <w:style w:type="paragraph" w:styleId="BalloonText">
    <w:name w:val="Balloon Text"/>
    <w:basedOn w:val="Normal"/>
    <w:link w:val="BalloonTextChar"/>
    <w:uiPriority w:val="99"/>
    <w:semiHidden/>
    <w:unhideWhenUsed/>
    <w:rsid w:val="007859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5930"/>
    <w:rPr>
      <w:rFonts w:ascii="Tahoma" w:hAnsi="Tahoma" w:cs="Tahoma"/>
      <w:sz w:val="16"/>
      <w:szCs w:val="16"/>
      <w:lang w:val="en-GB"/>
    </w:rPr>
  </w:style>
  <w:style w:type="paragraph" w:styleId="Header">
    <w:name w:val="header"/>
    <w:basedOn w:val="Normal"/>
    <w:link w:val="HeaderChar"/>
    <w:uiPriority w:val="99"/>
    <w:unhideWhenUsed/>
    <w:rsid w:val="004D70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7028"/>
    <w:rPr>
      <w:lang w:val="en-GB"/>
    </w:rPr>
  </w:style>
  <w:style w:type="paragraph" w:styleId="Footer">
    <w:name w:val="footer"/>
    <w:basedOn w:val="Normal"/>
    <w:link w:val="FooterChar"/>
    <w:uiPriority w:val="99"/>
    <w:unhideWhenUsed/>
    <w:rsid w:val="004D70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7028"/>
    <w:rPr>
      <w:lang w:val="en-GB"/>
    </w:rPr>
  </w:style>
  <w:style w:type="character" w:styleId="LineNumber">
    <w:name w:val="line number"/>
    <w:basedOn w:val="DefaultParagraphFont"/>
    <w:uiPriority w:val="99"/>
    <w:semiHidden/>
    <w:unhideWhenUsed/>
    <w:rsid w:val="004D7028"/>
  </w:style>
  <w:style w:type="paragraph" w:styleId="NoSpacing">
    <w:name w:val="No Spacing"/>
    <w:uiPriority w:val="1"/>
    <w:qFormat/>
    <w:rsid w:val="00C15F13"/>
    <w:pPr>
      <w:spacing w:after="0" w:line="240" w:lineRule="auto"/>
    </w:pPr>
    <w:rPr>
      <w:lang w:val="en-GB"/>
    </w:rPr>
  </w:style>
  <w:style w:type="paragraph" w:styleId="FootnoteText">
    <w:name w:val="footnote text"/>
    <w:basedOn w:val="Normal"/>
    <w:link w:val="FootnoteTextChar"/>
    <w:uiPriority w:val="99"/>
    <w:semiHidden/>
    <w:unhideWhenUsed/>
    <w:rsid w:val="00C15F13"/>
    <w:pPr>
      <w:spacing w:after="0" w:line="240" w:lineRule="auto"/>
    </w:pPr>
    <w:rPr>
      <w:rFonts w:ascii="Calibri" w:eastAsia="Calibri" w:hAnsi="Calibri" w:cs="Times New Roman"/>
      <w:sz w:val="20"/>
      <w:szCs w:val="20"/>
      <w:lang w:val="en-US"/>
    </w:rPr>
  </w:style>
  <w:style w:type="character" w:customStyle="1" w:styleId="FootnoteTextChar">
    <w:name w:val="Footnote Text Char"/>
    <w:basedOn w:val="DefaultParagraphFont"/>
    <w:link w:val="FootnoteText"/>
    <w:uiPriority w:val="99"/>
    <w:semiHidden/>
    <w:rsid w:val="00C15F13"/>
    <w:rPr>
      <w:rFonts w:ascii="Calibri" w:eastAsia="Calibri" w:hAnsi="Calibri" w:cs="Times New Roman"/>
      <w:sz w:val="20"/>
      <w:szCs w:val="20"/>
    </w:rPr>
  </w:style>
  <w:style w:type="character" w:styleId="FootnoteReference">
    <w:name w:val="footnote reference"/>
    <w:uiPriority w:val="99"/>
    <w:semiHidden/>
    <w:unhideWhenUsed/>
    <w:rsid w:val="00C15F13"/>
    <w:rPr>
      <w:vertAlign w:val="superscript"/>
    </w:rPr>
  </w:style>
  <w:style w:type="character" w:styleId="CommentReference">
    <w:name w:val="annotation reference"/>
    <w:basedOn w:val="DefaultParagraphFont"/>
    <w:uiPriority w:val="99"/>
    <w:semiHidden/>
    <w:unhideWhenUsed/>
    <w:rsid w:val="00F87917"/>
    <w:rPr>
      <w:sz w:val="16"/>
      <w:szCs w:val="16"/>
    </w:rPr>
  </w:style>
  <w:style w:type="paragraph" w:styleId="CommentText">
    <w:name w:val="annotation text"/>
    <w:basedOn w:val="Normal"/>
    <w:link w:val="CommentTextChar"/>
    <w:uiPriority w:val="99"/>
    <w:semiHidden/>
    <w:unhideWhenUsed/>
    <w:rsid w:val="00F87917"/>
    <w:pPr>
      <w:spacing w:line="240" w:lineRule="auto"/>
    </w:pPr>
    <w:rPr>
      <w:sz w:val="20"/>
      <w:szCs w:val="20"/>
    </w:rPr>
  </w:style>
  <w:style w:type="character" w:customStyle="1" w:styleId="CommentTextChar">
    <w:name w:val="Comment Text Char"/>
    <w:basedOn w:val="DefaultParagraphFont"/>
    <w:link w:val="CommentText"/>
    <w:uiPriority w:val="99"/>
    <w:semiHidden/>
    <w:rsid w:val="00F87917"/>
    <w:rPr>
      <w:sz w:val="20"/>
      <w:szCs w:val="20"/>
      <w:lang w:val="en-GB"/>
    </w:rPr>
  </w:style>
  <w:style w:type="paragraph" w:styleId="CommentSubject">
    <w:name w:val="annotation subject"/>
    <w:basedOn w:val="CommentText"/>
    <w:next w:val="CommentText"/>
    <w:link w:val="CommentSubjectChar"/>
    <w:uiPriority w:val="99"/>
    <w:semiHidden/>
    <w:unhideWhenUsed/>
    <w:rsid w:val="00F87917"/>
    <w:rPr>
      <w:b/>
      <w:bCs/>
    </w:rPr>
  </w:style>
  <w:style w:type="character" w:customStyle="1" w:styleId="CommentSubjectChar">
    <w:name w:val="Comment Subject Char"/>
    <w:basedOn w:val="CommentTextChar"/>
    <w:link w:val="CommentSubject"/>
    <w:uiPriority w:val="99"/>
    <w:semiHidden/>
    <w:rsid w:val="00F87917"/>
    <w:rPr>
      <w:b/>
      <w:bCs/>
      <w:sz w:val="20"/>
      <w:szCs w:val="20"/>
      <w:lang w:val="en-GB"/>
    </w:rPr>
  </w:style>
  <w:style w:type="paragraph" w:styleId="EndnoteText">
    <w:name w:val="endnote text"/>
    <w:basedOn w:val="Normal"/>
    <w:link w:val="EndnoteTextChar"/>
    <w:uiPriority w:val="99"/>
    <w:semiHidden/>
    <w:unhideWhenUsed/>
    <w:rsid w:val="003A533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A5331"/>
    <w:rPr>
      <w:sz w:val="20"/>
      <w:szCs w:val="20"/>
      <w:lang w:val="en-GB"/>
    </w:rPr>
  </w:style>
  <w:style w:type="character" w:styleId="EndnoteReference">
    <w:name w:val="endnote reference"/>
    <w:basedOn w:val="DefaultParagraphFont"/>
    <w:uiPriority w:val="99"/>
    <w:semiHidden/>
    <w:unhideWhenUsed/>
    <w:rsid w:val="003A533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1F1F79-717D-482B-B6B2-D70F7EF7F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8</Pages>
  <Words>3038</Words>
  <Characters>17322</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Agnes Hanti</dc:creator>
  <cp:lastModifiedBy>Karen  Mwaniki-Wanyoike</cp:lastModifiedBy>
  <cp:revision>43</cp:revision>
  <cp:lastPrinted>2016-02-22T13:16:00Z</cp:lastPrinted>
  <dcterms:created xsi:type="dcterms:W3CDTF">2016-03-08T15:28:00Z</dcterms:created>
  <dcterms:modified xsi:type="dcterms:W3CDTF">2016-03-11T10:44:00Z</dcterms:modified>
</cp:coreProperties>
</file>